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E92CB" w14:textId="3A0C433B" w:rsidR="00E33690" w:rsidRPr="00645DCC" w:rsidRDefault="00000000">
      <w:pPr>
        <w:spacing w:after="40"/>
        <w:jc w:val="center"/>
      </w:pPr>
      <w:r>
        <w:rPr>
          <w:b/>
          <w:bCs/>
          <w:sz w:val="36"/>
          <w:szCs w:val="36"/>
        </w:rPr>
        <w:t>SDC DENTAL CLINIC</w:t>
      </w:r>
    </w:p>
    <w:p w14:paraId="75924312" w14:textId="6A844F3C" w:rsidR="00E33690" w:rsidRPr="00645DCC" w:rsidRDefault="00000000">
      <w:pPr>
        <w:spacing w:after="40"/>
        <w:jc w:val="center"/>
      </w:pPr>
      <w:r>
        <w:rPr>
          <w:sz w:val="22"/>
          <w:szCs w:val="22"/>
        </w:rPr>
        <w:t>Management System — Feature Overview &amp; Pricing Proposal</w:t>
      </w:r>
    </w:p>
    <w:p w14:paraId="0723F4C4" w14:textId="76FA4A1D" w:rsidR="00E33690" w:rsidRPr="00645DCC" w:rsidRDefault="00000000">
      <w:pPr>
        <w:pBdr>
          <w:bottom w:val="single" w:sz="6" w:space="0" w:color="000000"/>
        </w:pBdr>
        <w:spacing w:after="300"/>
        <w:jc w:val="center"/>
      </w:pPr>
      <w:r>
        <w:rPr>
          <w:i/>
          <w:iCs/>
          <w:sz w:val="18"/>
          <w:szCs w:val="18"/>
        </w:rPr>
        <w:t>Prepared August 2026</w:t>
      </w:r>
    </w:p>
    <w:p w14:paraId="63E68D6D" w14:textId="2B9A9C22" w:rsidR="00E33690" w:rsidRPr="00645DCC" w:rsidRDefault="005C28FF">
      <w:pPr>
        <w:pStyle w:val="Heading1"/>
        <w:spacing w:before="300" w:after="150"/>
        <w:rPr>
          <w:color w:val="auto"/>
        </w:rPr>
      </w:pPr>
      <w:r>
        <w:rPr>
          <w:b/>
          <w:bCs/>
          <w:color w:val="auto"/>
          <w:sz w:val="28"/>
          <w:szCs w:val="28"/>
        </w:rPr>
        <w:t>1</w:t>
      </w:r>
      <w:r w:rsidR="00000000">
        <w:rPr>
          <w:b/>
          <w:bCs/>
          <w:color w:val="auto"/>
          <w:sz w:val="28"/>
          <w:szCs w:val="28"/>
        </w:rPr>
        <w:t>. Feature Requirements</w:t>
      </w:r>
    </w:p>
    <w:p w14:paraId="1ECC75B4" w14:textId="77777777" w:rsidR="00E33690" w:rsidRPr="00645DCC" w:rsidRDefault="00000000">
      <w:pPr>
        <w:spacing w:before="200" w:after="100"/>
      </w:pPr>
      <w:r>
        <w:rPr>
          <w:b/>
          <w:bCs/>
          <w:sz w:val="24"/>
          <w:szCs w:val="24"/>
        </w:rPr>
        <w:t>Admin</w:t>
      </w:r>
    </w:p>
    <w:p w14:paraId="24CC2B78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Per-branch finance dashboard with overall KPI view</w:t>
      </w:r>
    </w:p>
    <w:p w14:paraId="47AC7375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Total income breakdown by day, week, month, and year</w:t>
      </w:r>
    </w:p>
    <w:p w14:paraId="3DD639AE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Dentist–admin commission engine (variable share: 20%, 30%, 40%, 50%)</w:t>
      </w:r>
    </w:p>
    <w:p w14:paraId="5E6F8A72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Dentist-entered treatments serve as the basis for commission computation</w:t>
      </w:r>
    </w:p>
    <w:p w14:paraId="781F2721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Fixed commission share per treatment type</w:t>
      </w:r>
    </w:p>
    <w:p w14:paraId="5E2D1685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Visibility into total income and dentist's individual share</w:t>
      </w:r>
    </w:p>
    <w:p w14:paraId="02C5DE23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Treatment and doctor selection for commission assignment</w:t>
      </w:r>
    </w:p>
    <w:p w14:paraId="7BE794D1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Daily expense logging</w:t>
      </w:r>
    </w:p>
    <w:p w14:paraId="7E45074B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Multiple payment options: Cash, Online, Card</w:t>
      </w:r>
    </w:p>
    <w:p w14:paraId="3935B245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Daily net income (total income minus total expenses)</w:t>
      </w:r>
    </w:p>
    <w:p w14:paraId="5C04DBCE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Income breakdown by payment method</w:t>
      </w:r>
    </w:p>
    <w:p w14:paraId="41714667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Full calculation transparency across the system</w:t>
      </w:r>
    </w:p>
    <w:p w14:paraId="31A6ABB8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Printable patient receipts</w:t>
      </w:r>
    </w:p>
    <w:p w14:paraId="62168490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Monthly and yearly input rollups for KPI reporting</w:t>
      </w:r>
    </w:p>
    <w:p w14:paraId="14E87689" w14:textId="77777777" w:rsidR="00E33690" w:rsidRPr="00645DCC" w:rsidRDefault="00000000">
      <w:pPr>
        <w:spacing w:before="200" w:after="100"/>
      </w:pPr>
      <w:r>
        <w:rPr>
          <w:b/>
          <w:bCs/>
          <w:sz w:val="24"/>
          <w:szCs w:val="24"/>
        </w:rPr>
        <w:t>Front Desk</w:t>
      </w:r>
    </w:p>
    <w:p w14:paraId="351820AA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Payment total per patient appointment</w:t>
      </w:r>
    </w:p>
    <w:p w14:paraId="79A9EAC1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Daily payment totals view</w:t>
      </w:r>
    </w:p>
    <w:p w14:paraId="069FD585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Scheduling and patient information updates</w:t>
      </w:r>
    </w:p>
    <w:p w14:paraId="3CCEF5E8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Overall finance totals visibility</w:t>
      </w:r>
    </w:p>
    <w:p w14:paraId="6ABC8DA9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Patient doctor selection, with reassignment if unavailable</w:t>
      </w:r>
    </w:p>
    <w:p w14:paraId="5E937811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Visibility into dentist's total and share</w:t>
      </w:r>
    </w:p>
    <w:p w14:paraId="5A71FEB0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Daily expense entry across expense categories</w:t>
      </w:r>
    </w:p>
    <w:p w14:paraId="62448FF6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Patient record and history, including dentist and dental concern</w:t>
      </w:r>
    </w:p>
    <w:p w14:paraId="7B53AB07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Occupation field added to patient registration</w:t>
      </w:r>
    </w:p>
    <w:p w14:paraId="53D52381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Remaining treatment balance tracking with receipt printing</w:t>
      </w:r>
    </w:p>
    <w:p w14:paraId="32BFDE5C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File uploads to patient profile</w:t>
      </w:r>
    </w:p>
    <w:p w14:paraId="05C248BE" w14:textId="77777777" w:rsidR="00E33690" w:rsidRPr="00645DCC" w:rsidRDefault="00000000">
      <w:pPr>
        <w:spacing w:before="200" w:after="100"/>
      </w:pPr>
      <w:r>
        <w:rPr>
          <w:b/>
          <w:bCs/>
          <w:sz w:val="24"/>
          <w:szCs w:val="24"/>
        </w:rPr>
        <w:t>Client / Patient</w:t>
      </w:r>
    </w:p>
    <w:p w14:paraId="096D41EC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Online appointment booking</w:t>
      </w:r>
    </w:p>
    <w:p w14:paraId="3F86A43F" w14:textId="77777777" w:rsidR="00E33690" w:rsidRPr="00645DCC" w:rsidRDefault="00000000">
      <w:pPr>
        <w:pStyle w:val="ListParagraph"/>
        <w:numPr>
          <w:ilvl w:val="0"/>
          <w:numId w:val="1"/>
        </w:numPr>
        <w:spacing w:after="60"/>
      </w:pPr>
      <w:r>
        <w:t>Booking form: Name, Preferred Date &amp; Time, Dental Concern, Phone Number</w:t>
      </w:r>
    </w:p>
    <w:p w14:paraId="2B57D07E" w14:textId="5F40D90B" w:rsidR="00E33690" w:rsidRPr="00645DCC" w:rsidRDefault="005C28FF">
      <w:pPr>
        <w:pStyle w:val="Heading1"/>
        <w:spacing w:before="300" w:after="150"/>
        <w:rPr>
          <w:color w:val="auto"/>
        </w:rPr>
      </w:pPr>
      <w:r>
        <w:rPr>
          <w:b/>
          <w:bCs/>
          <w:color w:val="auto"/>
          <w:sz w:val="28"/>
          <w:szCs w:val="28"/>
        </w:rPr>
        <w:t>2</w:t>
      </w:r>
      <w:r w:rsidR="00000000">
        <w:rPr>
          <w:b/>
          <w:bCs/>
          <w:color w:val="auto"/>
          <w:sz w:val="28"/>
          <w:szCs w:val="28"/>
        </w:rPr>
        <w:t>. Updated Pricing Breakdown</w:t>
      </w:r>
    </w:p>
    <w:p w14:paraId="62E62FD0" w14:textId="77777777" w:rsidR="00E33690" w:rsidRPr="00645DCC" w:rsidRDefault="00000000">
      <w:pPr>
        <w:spacing w:after="120"/>
      </w:pPr>
      <w:r>
        <w:t>The Finance &amp; Commission requirements form a distinct subsystem — commission logic, multi-branch KPI rollups, and payment reconciliation — that goes beyond Tier 2's original scope but does not require Tier 3's patient-portal and payment-gateway infrastructure. It is proposed as a new Tier 2.5. The lightweight online booking form is far simpler than Tier 3's original self-service portal, so it moves down and is included starting at Tier 2.5.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65"/>
        <w:gridCol w:w="2331"/>
        <w:gridCol w:w="2904"/>
      </w:tblGrid>
      <w:tr w:rsidR="00E33690" w:rsidRPr="00645DCC" w14:paraId="619A4B10" w14:textId="77777777">
        <w:trPr>
          <w:tblHeader/>
        </w:trPr>
        <w:tc>
          <w:tcPr>
            <w:tcW w:w="19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527B0" w14:textId="77777777" w:rsidR="00E33690" w:rsidRPr="00645DCC" w:rsidRDefault="00E33690"/>
        </w:tc>
        <w:tc>
          <w:tcPr>
            <w:tcW w:w="24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5EB5" w14:textId="77777777" w:rsidR="00E33690" w:rsidRPr="00645DC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 1 Core System</w:t>
            </w:r>
          </w:p>
        </w:tc>
        <w:tc>
          <w:tcPr>
            <w:tcW w:w="24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E2271" w14:textId="77777777" w:rsidR="00E33690" w:rsidRPr="00645DC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 2 Advanced Suite</w:t>
            </w:r>
          </w:p>
        </w:tc>
        <w:tc>
          <w:tcPr>
            <w:tcW w:w="29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16F9" w14:textId="77777777" w:rsidR="00E33690" w:rsidRPr="00645DC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 2.5 Finance &amp; Commission Add-on</w:t>
            </w:r>
          </w:p>
        </w:tc>
      </w:tr>
      <w:tr w:rsidR="00E33690" w:rsidRPr="00645DCC" w14:paraId="45F2C1D8" w14:textId="77777777">
        <w:tc>
          <w:tcPr>
            <w:tcW w:w="19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E8145" w14:textId="77777777" w:rsidR="00E33690" w:rsidRPr="00645DCC" w:rsidRDefault="00000000">
            <w:r>
              <w:rPr>
                <w:b/>
                <w:bCs/>
                <w:sz w:val="18"/>
                <w:szCs w:val="18"/>
              </w:rPr>
              <w:t>Price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239D1" w14:textId="77777777" w:rsidR="00E33690" w:rsidRPr="00645DCC" w:rsidRDefault="00000000">
            <w:pPr>
              <w:jc w:val="center"/>
            </w:pPr>
            <w:r>
              <w:rPr>
                <w:b/>
                <w:bCs/>
              </w:rPr>
              <w:t>₱30,000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0C33E" w14:textId="201670E7" w:rsidR="00E33690" w:rsidRPr="00645DCC" w:rsidRDefault="00000000">
            <w:pPr>
              <w:jc w:val="center"/>
            </w:pPr>
            <w:r>
              <w:rPr>
                <w:b/>
                <w:bCs/>
              </w:rPr>
              <w:t>₱75,000 (est.)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03D5" w14:textId="6682CA78" w:rsidR="00E33690" w:rsidRPr="00645DCC" w:rsidRDefault="00000000">
            <w:pPr>
              <w:jc w:val="center"/>
            </w:pPr>
            <w:r>
              <w:rPr>
                <w:b/>
                <w:bCs/>
              </w:rPr>
              <w:t>₱80,000</w:t>
            </w:r>
          </w:p>
        </w:tc>
      </w:tr>
      <w:tr w:rsidR="00E33690" w:rsidRPr="00645DCC" w14:paraId="00ABD0EA" w14:textId="77777777">
        <w:tc>
          <w:tcPr>
            <w:tcW w:w="19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34F8B" w14:textId="77777777" w:rsidR="00E33690" w:rsidRPr="00645DCC" w:rsidRDefault="00000000">
            <w:r>
              <w:rPr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24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0F3354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Multi-branch centralized patient database</w:t>
            </w:r>
          </w:p>
          <w:p w14:paraId="09310153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Role-Based Access Control (Admin / Doctor / Front Desk)</w:t>
            </w:r>
          </w:p>
          <w:p w14:paraId="380C7E88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Interactive appointment booking &amp; rescheduling</w:t>
            </w:r>
          </w:p>
          <w:p w14:paraId="525EF5C8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Real-time double-booking prevention</w:t>
            </w:r>
          </w:p>
          <w:p w14:paraId="2007D359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Patient intake &amp; registration management</w:t>
            </w:r>
          </w:p>
          <w:p w14:paraId="6743C111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Branch-scoped data filtering</w:t>
            </w:r>
          </w:p>
          <w:p w14:paraId="2D528ACF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Manual treatment logging</w:t>
            </w:r>
          </w:p>
          <w:p w14:paraId="52A3F4AD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Color-coded calendar (FullCalendar.js)</w:t>
            </w:r>
          </w:p>
          <w:p w14:paraId="76EE63A4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Searchable patient registry (DataTables.js)</w:t>
            </w:r>
          </w:p>
        </w:tc>
        <w:tc>
          <w:tcPr>
            <w:tcW w:w="24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717FC4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Everything in Tier 1</w:t>
            </w:r>
          </w:p>
          <w:p w14:paraId="65395DFA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Orthodontic installment &amp; financial ledger</w:t>
            </w:r>
          </w:p>
          <w:p w14:paraId="64D723B3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Multi-branch inventory &amp; stock tracking with low-stock alerts</w:t>
            </w:r>
          </w:p>
          <w:p w14:paraId="2C8168BD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Automated SMS/Email notifications</w:t>
            </w:r>
          </w:p>
          <w:p w14:paraId="7B9BE4E9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Advanced analytics &amp; financial reporting (PDF/Excel export)</w:t>
            </w:r>
          </w:p>
          <w:p w14:paraId="26A9BF13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Audit trail &amp; activity logs</w:t>
            </w:r>
          </w:p>
        </w:tc>
        <w:tc>
          <w:tcPr>
            <w:tcW w:w="290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13FC44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Everything in Tier 2</w:t>
            </w:r>
          </w:p>
          <w:p w14:paraId="6EC197AA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Dentist–admin commission engine (variable % shares)</w:t>
            </w:r>
          </w:p>
          <w:p w14:paraId="13E44201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Treatment &amp; doctor selection for commission assignment, with fixed share per treatment type</w:t>
            </w:r>
          </w:p>
          <w:p w14:paraId="13E44202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Client doctor selection at booking, with reassignment if unavailable</w:t>
            </w:r>
          </w:p>
          <w:p w14:paraId="13E4423B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Per-branch finance dashboard + overall KPI dashboard</w:t>
            </w:r>
          </w:p>
          <w:p w14:paraId="36CD9372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Daily/weekly/monthly/yearly income rollups</w:t>
            </w:r>
          </w:p>
          <w:p w14:paraId="079E573B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Expense tracking (Admin &amp; Front Desk)</w:t>
            </w:r>
          </w:p>
          <w:p w14:paraId="60852B9A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Multi-payment reconciliation (Cash/Online/Card)</w:t>
            </w:r>
          </w:p>
          <w:p w14:paraId="6FE6A37C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Printable receipts &amp; remaining balance tracking</w:t>
            </w:r>
          </w:p>
          <w:p w14:paraId="7E1AC580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Per-appointment &amp; daily payment totals, with full calculation transparency</w:t>
            </w:r>
          </w:p>
          <w:p w14:paraId="7E1AC581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Expanded patient profile (occupation, file uploads, history)</w:t>
            </w:r>
          </w:p>
          <w:p w14:paraId="6417D0A2" w14:textId="77777777" w:rsidR="00E33690" w:rsidRPr="00645DCC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Online booking form (name, date/time, concern, phone)</w:t>
            </w:r>
          </w:p>
        </w:tc>
      </w:tr>
    </w:tbl>
    <w:p w14:paraId="00000001" w14:textId="270E6B8E" w:rsidR="00E33690" w:rsidRDefault="005C28FF">
      <w:pPr>
        <w:pStyle w:val="Heading1"/>
        <w:spacing w:before="300" w:after="150"/>
        <w:rPr>
          <w:color w:val="auto"/>
        </w:rPr>
      </w:pPr>
      <w:r>
        <w:rPr>
          <w:b/>
          <w:bCs/>
          <w:color w:val="auto"/>
          <w:sz w:val="28"/>
          <w:szCs w:val="28"/>
        </w:rPr>
        <w:t>3</w:t>
      </w:r>
      <w:r w:rsidR="00000000">
        <w:rPr>
          <w:b/>
          <w:bCs/>
          <w:color w:val="auto"/>
          <w:sz w:val="28"/>
          <w:szCs w:val="28"/>
        </w:rPr>
        <w:t>. Terms &amp; Conditions</w:t>
      </w:r>
    </w:p>
    <w:p w14:paraId="00000002" w14:textId="77777777" w:rsidR="00E33690" w:rsidRDefault="00000000">
      <w:pPr>
        <w:spacing w:before="200" w:after="100"/>
      </w:pPr>
      <w:r>
        <w:rPr>
          <w:b/>
          <w:bCs/>
          <w:sz w:val="24"/>
          <w:szCs w:val="24"/>
        </w:rPr>
        <w:t>Payment Schedule</w:t>
      </w:r>
    </w:p>
    <w:p w14:paraId="00000003" w14:textId="77777777" w:rsidR="00E33690" w:rsidRDefault="00000000">
      <w:pPr>
        <w:pStyle w:val="ListParagraph"/>
        <w:numPr>
          <w:ilvl w:val="0"/>
          <w:numId w:val="1"/>
        </w:numPr>
        <w:spacing w:after="60"/>
      </w:pPr>
      <w:r>
        <w:t>A 50% down payment is required to commence development, with the remaining 50% due upon system delivery and client acceptance.</w:t>
      </w:r>
    </w:p>
    <w:p w14:paraId="00000004" w14:textId="77777777" w:rsidR="00E33690" w:rsidRDefault="00000000">
      <w:pPr>
        <w:pStyle w:val="ListParagraph"/>
        <w:numPr>
          <w:ilvl w:val="0"/>
          <w:numId w:val="1"/>
        </w:numPr>
        <w:spacing w:after="60"/>
      </w:pPr>
      <w:r>
        <w:t>Tier upgrades or add-on modules purchased after project kickoff are billed separately and invoiced upon agreement.</w:t>
      </w:r>
    </w:p>
    <w:p w14:paraId="00000005" w14:textId="77777777" w:rsidR="00E33690" w:rsidRDefault="00000000">
      <w:pPr>
        <w:pStyle w:val="ListParagraph"/>
        <w:numPr>
          <w:ilvl w:val="0"/>
          <w:numId w:val="1"/>
        </w:numPr>
        <w:spacing w:after="60"/>
      </w:pPr>
      <w:r>
        <w:t>All prices are quoted in Philippine Pesos (₱) and are exclusive of applicable taxes unless otherwise stated.</w:t>
      </w:r>
    </w:p>
    <w:p w14:paraId="00000006" w14:textId="77777777" w:rsidR="00E33690" w:rsidRDefault="00000000">
      <w:pPr>
        <w:spacing w:before="200" w:after="100"/>
      </w:pPr>
      <w:r>
        <w:rPr>
          <w:b/>
          <w:bCs/>
          <w:sz w:val="24"/>
          <w:szCs w:val="24"/>
        </w:rPr>
        <w:t>Project Timeline</w:t>
      </w:r>
    </w:p>
    <w:p w14:paraId="00000007" w14:textId="77777777" w:rsidR="00E33690" w:rsidRDefault="00000000">
      <w:pPr>
        <w:pStyle w:val="ListParagraph"/>
        <w:numPr>
          <w:ilvl w:val="0"/>
          <w:numId w:val="1"/>
        </w:numPr>
        <w:spacing w:after="60"/>
      </w:pPr>
      <w:r>
        <w:t>Estimated development timelines will be provided upon confirmation of the selected tier and finalized scope of work.</w:t>
      </w:r>
    </w:p>
    <w:p w14:paraId="00000008" w14:textId="77777777" w:rsidR="00E33690" w:rsidRDefault="00000000">
      <w:pPr>
        <w:pStyle w:val="ListParagraph"/>
        <w:numPr>
          <w:ilvl w:val="0"/>
          <w:numId w:val="1"/>
        </w:numPr>
        <w:spacing w:after="60"/>
      </w:pPr>
      <w:r>
        <w:t>Delays arising from incomplete client-provided information, assets, or delayed feedback may adjust the delivery schedule accordingly.</w:t>
      </w:r>
    </w:p>
    <w:p w14:paraId="00000009" w14:textId="77777777" w:rsidR="00E33690" w:rsidRDefault="00000000">
      <w:pPr>
        <w:spacing w:before="200" w:after="100"/>
      </w:pPr>
      <w:r>
        <w:rPr>
          <w:b/>
          <w:bCs/>
          <w:sz w:val="24"/>
          <w:szCs w:val="24"/>
        </w:rPr>
        <w:t>Revisions</w:t>
      </w:r>
    </w:p>
    <w:p w14:paraId="0000000A" w14:textId="77777777" w:rsidR="00E33690" w:rsidRDefault="00000000">
      <w:pPr>
        <w:pStyle w:val="ListParagraph"/>
        <w:numPr>
          <w:ilvl w:val="0"/>
          <w:numId w:val="1"/>
        </w:numPr>
        <w:spacing w:after="60"/>
      </w:pPr>
      <w:r>
        <w:t>Two (2) rounds of revisions are included per development milestone. Additional revisions beyond the agreed scope will be quoted separately.</w:t>
      </w:r>
    </w:p>
    <w:p w14:paraId="0000000B" w14:textId="77777777" w:rsidR="00E33690" w:rsidRDefault="00000000">
      <w:pPr>
        <w:spacing w:before="200" w:after="100"/>
      </w:pPr>
      <w:r>
        <w:rPr>
          <w:b/>
          <w:bCs/>
          <w:sz w:val="24"/>
          <w:szCs w:val="24"/>
        </w:rPr>
        <w:lastRenderedPageBreak/>
        <w:t>Ownership &amp; Confidentiality</w:t>
      </w:r>
    </w:p>
    <w:p w14:paraId="0000000C" w14:textId="77777777" w:rsidR="00E33690" w:rsidRDefault="00000000">
      <w:pPr>
        <w:pStyle w:val="ListParagraph"/>
        <w:numPr>
          <w:ilvl w:val="0"/>
          <w:numId w:val="1"/>
        </w:numPr>
        <w:spacing w:after="60"/>
      </w:pPr>
      <w:r>
        <w:t>Full ownership of the completed system, including source code, is transferred to the client upon receipt of final payment.</w:t>
      </w:r>
    </w:p>
    <w:p w14:paraId="0000000D" w14:textId="77777777" w:rsidR="00E33690" w:rsidRDefault="00000000">
      <w:pPr>
        <w:pStyle w:val="ListParagraph"/>
        <w:numPr>
          <w:ilvl w:val="0"/>
          <w:numId w:val="1"/>
        </w:numPr>
        <w:spacing w:after="60"/>
      </w:pPr>
      <w:r>
        <w:t>All patient data, clinic records, and business information shared during the engagement will be treated as strictly confidential.</w:t>
      </w:r>
    </w:p>
    <w:p w14:paraId="0000000E" w14:textId="77777777" w:rsidR="00E33690" w:rsidRDefault="00000000">
      <w:pPr>
        <w:spacing w:before="200" w:after="100"/>
      </w:pPr>
      <w:r>
        <w:rPr>
          <w:b/>
          <w:bCs/>
          <w:sz w:val="24"/>
          <w:szCs w:val="24"/>
        </w:rPr>
        <w:t>Support &amp; Maintenance</w:t>
      </w:r>
    </w:p>
    <w:p w14:paraId="0000000F" w14:textId="77777777" w:rsidR="00E33690" w:rsidRDefault="00000000">
      <w:pPr>
        <w:pStyle w:val="ListParagraph"/>
        <w:numPr>
          <w:ilvl w:val="0"/>
          <w:numId w:val="1"/>
        </w:numPr>
        <w:spacing w:after="60"/>
      </w:pPr>
      <w:r>
        <w:t>A complimentary 30-day post-launch support period is included for bug fixes and stability issues arising from the original scope.</w:t>
      </w:r>
    </w:p>
    <w:p w14:paraId="00000010" w14:textId="77777777" w:rsidR="00E33690" w:rsidRDefault="00000000">
      <w:pPr>
        <w:pStyle w:val="ListParagraph"/>
        <w:numPr>
          <w:ilvl w:val="0"/>
          <w:numId w:val="1"/>
        </w:numPr>
        <w:spacing w:after="60"/>
      </w:pPr>
      <w:r>
        <w:t>Ongoing maintenance, hosting, and feature enhancements beyond the support period are available under a separate service agreement.</w:t>
      </w:r>
    </w:p>
    <w:p w14:paraId="00000011" w14:textId="77777777" w:rsidR="00E33690" w:rsidRDefault="00000000">
      <w:pPr>
        <w:spacing w:before="200" w:after="100"/>
      </w:pPr>
      <w:r>
        <w:rPr>
          <w:b/>
          <w:bCs/>
          <w:sz w:val="24"/>
          <w:szCs w:val="24"/>
        </w:rPr>
        <w:t>Validity of Proposal</w:t>
      </w:r>
    </w:p>
    <w:p w14:paraId="00000012" w14:textId="77777777" w:rsidR="00E33690" w:rsidRDefault="00000000">
      <w:pPr>
        <w:pStyle w:val="ListParagraph"/>
        <w:numPr>
          <w:ilvl w:val="0"/>
          <w:numId w:val="1"/>
        </w:numPr>
        <w:spacing w:after="60"/>
      </w:pPr>
      <w:r>
        <w:t>This proposal, including all pricing, is valid for thirty (30) days from the date of preparation and is subject to revision thereafter.</w:t>
      </w:r>
    </w:p>
    <w:p w14:paraId="182D20D7" w14:textId="015AFA6D" w:rsidR="00E33690" w:rsidRPr="00645DCC" w:rsidRDefault="002F0BF2" w:rsidP="00531A5E">
      <w:pPr>
        <w:spacing w:after="120"/>
      </w:pPr>
      <w:r>
        <w:t xml:space="preserve"> </w:t>
      </w:r>
    </w:p>
    <w:sectPr w:rsidR="00E33690" w:rsidRPr="00645DC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6066D"/>
    <w:multiLevelType w:val="hybridMultilevel"/>
    <w:tmpl w:val="F3DCD6C8"/>
    <w:lvl w:ilvl="0" w:tplc="1624CFF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8154B2"/>
    <w:multiLevelType w:val="hybridMultilevel"/>
    <w:tmpl w:val="CC0A2168"/>
    <w:lvl w:ilvl="0" w:tplc="ECCA95D4">
      <w:start w:val="1"/>
      <w:numFmt w:val="bullet"/>
      <w:lvlText w:val="●"/>
      <w:lvlJc w:val="left"/>
      <w:pPr>
        <w:ind w:left="720" w:hanging="360"/>
      </w:pPr>
    </w:lvl>
    <w:lvl w:ilvl="1" w:tplc="6DE66F36">
      <w:start w:val="1"/>
      <w:numFmt w:val="bullet"/>
      <w:lvlText w:val="○"/>
      <w:lvlJc w:val="left"/>
      <w:pPr>
        <w:ind w:left="1440" w:hanging="360"/>
      </w:pPr>
    </w:lvl>
    <w:lvl w:ilvl="2" w:tplc="EC02D0C4">
      <w:start w:val="1"/>
      <w:numFmt w:val="bullet"/>
      <w:lvlText w:val="■"/>
      <w:lvlJc w:val="left"/>
      <w:pPr>
        <w:ind w:left="2160" w:hanging="360"/>
      </w:pPr>
    </w:lvl>
    <w:lvl w:ilvl="3" w:tplc="A4E0D080">
      <w:start w:val="1"/>
      <w:numFmt w:val="bullet"/>
      <w:lvlText w:val="●"/>
      <w:lvlJc w:val="left"/>
      <w:pPr>
        <w:ind w:left="2880" w:hanging="360"/>
      </w:pPr>
    </w:lvl>
    <w:lvl w:ilvl="4" w:tplc="773A77BE">
      <w:start w:val="1"/>
      <w:numFmt w:val="bullet"/>
      <w:lvlText w:val="○"/>
      <w:lvlJc w:val="left"/>
      <w:pPr>
        <w:ind w:left="3600" w:hanging="360"/>
      </w:pPr>
    </w:lvl>
    <w:lvl w:ilvl="5" w:tplc="4D90E3F4">
      <w:start w:val="1"/>
      <w:numFmt w:val="bullet"/>
      <w:lvlText w:val="■"/>
      <w:lvlJc w:val="left"/>
      <w:pPr>
        <w:ind w:left="4320" w:hanging="360"/>
      </w:pPr>
    </w:lvl>
    <w:lvl w:ilvl="6" w:tplc="AA18DFD2">
      <w:start w:val="1"/>
      <w:numFmt w:val="bullet"/>
      <w:lvlText w:val="●"/>
      <w:lvlJc w:val="left"/>
      <w:pPr>
        <w:ind w:left="5040" w:hanging="360"/>
      </w:pPr>
    </w:lvl>
    <w:lvl w:ilvl="7" w:tplc="382C5186">
      <w:start w:val="1"/>
      <w:numFmt w:val="bullet"/>
      <w:lvlText w:val="●"/>
      <w:lvlJc w:val="left"/>
      <w:pPr>
        <w:ind w:left="5760" w:hanging="360"/>
      </w:pPr>
    </w:lvl>
    <w:lvl w:ilvl="8" w:tplc="E8D6DAAA">
      <w:start w:val="1"/>
      <w:numFmt w:val="bullet"/>
      <w:lvlText w:val="●"/>
      <w:lvlJc w:val="left"/>
      <w:pPr>
        <w:ind w:left="6480" w:hanging="360"/>
      </w:pPr>
    </w:lvl>
  </w:abstractNum>
  <w:num w:numId="1" w16cid:durableId="1190485320">
    <w:abstractNumId w:val="1"/>
    <w:lvlOverride w:ilvl="0">
      <w:startOverride w:val="1"/>
    </w:lvlOverride>
  </w:num>
  <w:num w:numId="2" w16cid:durableId="856846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690"/>
    <w:rsid w:val="0024554B"/>
    <w:rsid w:val="002F0BF2"/>
    <w:rsid w:val="003F3A37"/>
    <w:rsid w:val="00531A5E"/>
    <w:rsid w:val="005C28FF"/>
    <w:rsid w:val="00645DCC"/>
    <w:rsid w:val="00D06CCF"/>
    <w:rsid w:val="00E33690"/>
    <w:rsid w:val="00F0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1637"/>
  <w15:docId w15:val="{02F13B6F-D8F9-4D27-AE02-EE27A76E2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00000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Kitt Harley Sy</cp:lastModifiedBy>
  <cp:revision>6</cp:revision>
  <dcterms:created xsi:type="dcterms:W3CDTF">2026-08-11T08:01:00Z</dcterms:created>
  <dcterms:modified xsi:type="dcterms:W3CDTF">2026-08-11T15:28:00Z</dcterms:modified>
</cp:coreProperties>
</file>