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64748B"/>
          <w:sz w:val="17"/>
        </w:rPr>
        <w:t>CONFIDENTIAL • CLIENT PROPOSAL</w:t>
      </w:r>
    </w:p>
    <w:p>
      <w:pPr>
        <w:spacing w:after="40"/>
      </w:pPr>
      <w:r>
        <w:rPr>
          <w:b/>
          <w:color w:val="0F2744"/>
          <w:sz w:val="48"/>
        </w:rPr>
        <w:t>JTYeo CPA Accounting Office</w:t>
      </w:r>
    </w:p>
    <w:p>
      <w:pPr>
        <w:spacing w:after="320"/>
      </w:pPr>
      <w:r>
        <w:rPr>
          <w:b/>
          <w:color w:val="0284C7"/>
          <w:sz w:val="24"/>
        </w:rPr>
        <w:t>DOLE-Compliant Leave Management System (LMS) • Project Implementation Proposal</w:t>
      </w:r>
    </w:p>
    <w:tbl>
      <w:tblPr>
        <w:tblW w:type="auto" w:w="0"/>
        <w:jc w:val="center"/>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after="0"/>
            </w:pPr>
            <w:r>
              <w:rPr>
                <w:b/>
                <w:color w:val="0F2744"/>
                <w:sz w:val="19"/>
              </w:rPr>
              <w:t>Client Name:</w:t>
            </w:r>
            <w:r>
              <w:rPr>
                <w:color w:val="1E293B"/>
                <w:sz w:val="19"/>
              </w:rPr>
              <w:t xml:space="preserve"> Atty. Jonathan Yeo, CPA &amp; Management Committee</w:t>
            </w:r>
          </w:p>
        </w:tc>
        <w:tc>
          <w:tcPr>
            <w:tcW w:type="dxa" w:w="4968"/>
            <w:shd w:fill="F8FAFC"/>
            <w:tcMar>
              <w:top w:w="80" w:type="dxa"/>
              <w:bottom w:w="80" w:type="dxa"/>
              <w:left w:w="120" w:type="dxa"/>
              <w:right w:w="120" w:type="dxa"/>
            </w:tcMar>
          </w:tcPr>
          <w:p>
            <w:pPr>
              <w:spacing w:after="0"/>
            </w:pPr>
            <w:r>
              <w:rPr>
                <w:b/>
                <w:color w:val="0F2744"/>
                <w:sz w:val="19"/>
              </w:rPr>
              <w:t>Date of Proposal:</w:t>
            </w:r>
            <w:r>
              <w:rPr>
                <w:color w:val="1E293B"/>
                <w:sz w:val="19"/>
              </w:rPr>
              <w:t xml:space="preserve"> February 2026</w:t>
            </w:r>
          </w:p>
        </w:tc>
      </w:tr>
      <w:tr>
        <w:tc>
          <w:tcPr>
            <w:tcW w:type="dxa" w:w="4968"/>
            <w:shd w:fill="F8FAFC"/>
            <w:tcMar>
              <w:top w:w="80" w:type="dxa"/>
              <w:bottom w:w="80" w:type="dxa"/>
              <w:left w:w="120" w:type="dxa"/>
              <w:right w:w="120" w:type="dxa"/>
            </w:tcMar>
          </w:tcPr>
          <w:p>
            <w:pPr>
              <w:spacing w:after="0"/>
            </w:pPr>
            <w:r>
              <w:rPr>
                <w:b/>
                <w:color w:val="0F2744"/>
                <w:sz w:val="19"/>
              </w:rPr>
              <w:t>Practice Name:</w:t>
            </w:r>
            <w:r>
              <w:rPr>
                <w:color w:val="1E293B"/>
                <w:sz w:val="19"/>
              </w:rPr>
              <w:t xml:space="preserve"> JTYeo CPA Accounting Office</w:t>
            </w:r>
          </w:p>
        </w:tc>
        <w:tc>
          <w:tcPr>
            <w:tcW w:type="dxa" w:w="4968"/>
            <w:shd w:fill="F8FAFC"/>
            <w:tcMar>
              <w:top w:w="80" w:type="dxa"/>
              <w:bottom w:w="80" w:type="dxa"/>
              <w:left w:w="120" w:type="dxa"/>
              <w:right w:w="120" w:type="dxa"/>
            </w:tcMar>
          </w:tcPr>
          <w:p>
            <w:pPr>
              <w:spacing w:after="0"/>
            </w:pPr>
            <w:r>
              <w:rPr>
                <w:b/>
                <w:color w:val="0F2744"/>
                <w:sz w:val="19"/>
              </w:rPr>
              <w:t>Target Deployment:</w:t>
            </w:r>
            <w:r>
              <w:rPr>
                <w:color w:val="1E293B"/>
                <w:sz w:val="19"/>
              </w:rPr>
              <w:t xml:space="preserve"> Turnkey 3-4 Weeks (Ready for Q2 2026)</w:t>
            </w:r>
          </w:p>
        </w:tc>
      </w:tr>
    </w:tbl>
    <w:p>
      <w:pPr>
        <w:spacing w:after="200"/>
      </w:pPr>
    </w:p>
    <w:p>
      <w:r>
        <w:rPr>
          <w:b/>
          <w:color w:val="0F2744"/>
          <w:sz w:val="28"/>
        </w:rPr>
        <w:t>1. Executive Summary &amp; Value Proposition</w:t>
      </w:r>
    </w:p>
    <w:p>
      <w:pPr>
        <w:spacing w:after="200" w:line="276" w:lineRule="auto"/>
      </w:pPr>
      <w:r>
        <w:rPr>
          <w:color w:val="1E293B"/>
          <w:sz w:val="20"/>
        </w:rPr>
        <w:t>For an established accounting and auditing practice, workforce scheduling, statutory leave compliance, and billable hour preservation during peak tax and audit deadlines are paramount. Manual tracking via paper forms or spreadsheets leads to unverified absences, lost billable hours, engagement coverage blindspots, and unexpected year-end cash liabilities under standard Service Incentive Leave (SIL) rules.</w:t>
        <w:br/>
        <w:br/>
        <w:t>This proposal presents two clear, tailored implementation packages for JTYeo CPA Accounting Office:</w:t>
      </w:r>
    </w:p>
    <w:p>
      <w:pPr>
        <w:pStyle w:val="ListBullet"/>
      </w:pPr>
      <w:r>
        <w:rPr>
          <w:b/>
          <w:color w:val="0F2744"/>
        </w:rPr>
        <w:t xml:space="preserve">Tier 1: Core Practice Management Edition (₱75,000) — </w:t>
      </w:r>
      <w:r>
        <w:t>Full custom leave management platform, Role-Based Access Control, employee self-service balances, structured partner approvals, on-behalf proxy filing, and server deployment.</w:t>
      </w:r>
    </w:p>
    <w:p>
      <w:pPr>
        <w:pStyle w:val="ListBullet"/>
      </w:pPr>
      <w:r>
        <w:rPr>
          <w:b/>
          <w:color w:val="0284C7"/>
        </w:rPr>
        <w:t xml:space="preserve">Tier 2: Enterprise Practice Cloud Suite (₱85,000) ⭐ Recommended Flagship — </w:t>
      </w:r>
      <w:r>
        <w:t>Everything in Tier 1 PLUS automated 1-click payroll CSV export (JuanTax/Sprout/QuickBooks), Year-End Unused Leave Cash Conversion Ledger, Interactive Team Calendar, Medical Proof Viewer, immutable audit trails with IP tracking, automated email alerts, and 3 months priority SLA warranty.</w:t>
      </w:r>
    </w:p>
    <w:p>
      <w:pPr>
        <w:spacing w:after="200"/>
      </w:pPr>
    </w:p>
    <w:p>
      <w:r>
        <w:rPr>
          <w:b/>
          <w:color w:val="0F2744"/>
          <w:sz w:val="28"/>
        </w:rPr>
        <w:t>2. Strategic Package Comparison Matrix</w:t>
      </w:r>
    </w:p>
    <w:tbl>
      <w:tblPr>
        <w:tblW w:type="auto" w:w="0"/>
        <w:jc w:val="center"/>
        <w:tblLook w:firstColumn="1" w:firstRow="1" w:lastColumn="0" w:lastRow="0" w:noHBand="0" w:noVBand="1" w:val="04A0"/>
      </w:tblPr>
      <w:tblGrid>
        <w:gridCol w:w="3312"/>
        <w:gridCol w:w="3312"/>
        <w:gridCol w:w="3312"/>
      </w:tblGrid>
      <w:tr>
        <w:tc>
          <w:tcPr>
            <w:tcW w:type="dxa" w:w="2880"/>
            <w:vAlign w:val="center"/>
            <w:tcMar>
              <w:top w:w="80" w:type="dxa"/>
              <w:bottom w:w="80" w:type="dxa"/>
              <w:left w:w="100" w:type="dxa"/>
              <w:right w:w="100" w:type="dxa"/>
            </w:tcMar>
            <w:shd w:fill="0F2744"/>
          </w:tcPr>
          <w:p>
            <w:pPr>
              <w:spacing w:after="0"/>
              <w:jc w:val="center"/>
            </w:pPr>
            <w:r>
              <w:rPr>
                <w:b/>
                <w:color w:val="FFFFFF"/>
                <w:sz w:val="19"/>
              </w:rPr>
              <w:t>System Module &amp; Deliverable</w:t>
            </w:r>
          </w:p>
        </w:tc>
        <w:tc>
          <w:tcPr>
            <w:tcW w:type="dxa" w:w="3600"/>
            <w:vAlign w:val="center"/>
            <w:tcMar>
              <w:top w:w="80" w:type="dxa"/>
              <w:bottom w:w="80" w:type="dxa"/>
              <w:left w:w="100" w:type="dxa"/>
              <w:right w:w="100" w:type="dxa"/>
            </w:tcMar>
            <w:shd w:fill="0F2744"/>
          </w:tcPr>
          <w:p>
            <w:pPr>
              <w:spacing w:after="0"/>
              <w:jc w:val="center"/>
            </w:pPr>
            <w:r>
              <w:rPr>
                <w:b/>
                <w:color w:val="FFFFFF"/>
                <w:sz w:val="19"/>
              </w:rPr>
              <w:t>Tier 1: Core Practice Edition</w:t>
              <w:br/>
              <w:t>(₱75,000)</w:t>
            </w:r>
          </w:p>
        </w:tc>
        <w:tc>
          <w:tcPr>
            <w:tcW w:type="dxa" w:w="3888"/>
            <w:vAlign w:val="center"/>
            <w:tcMar>
              <w:top w:w="80" w:type="dxa"/>
              <w:bottom w:w="80" w:type="dxa"/>
              <w:left w:w="100" w:type="dxa"/>
              <w:right w:w="100" w:type="dxa"/>
            </w:tcMar>
            <w:shd w:fill="0F2744"/>
          </w:tcPr>
          <w:p>
            <w:pPr>
              <w:spacing w:after="0"/>
              <w:jc w:val="center"/>
            </w:pPr>
            <w:r>
              <w:rPr>
                <w:b/>
                <w:color w:val="FFFFFF"/>
                <w:sz w:val="19"/>
              </w:rPr>
              <w:t>Tier 2: Enterprise Cloud Suite</w:t>
              <w:br/>
              <w:t>(₱85,000) 🏆</w:t>
            </w:r>
          </w:p>
        </w:tc>
      </w:tr>
      <w:tr>
        <w:tc>
          <w:tcPr>
            <w:tcW w:type="dxa" w:w="2880"/>
            <w:vAlign w:val="center"/>
            <w:tcMar>
              <w:top w:w="80" w:type="dxa"/>
              <w:bottom w:w="80" w:type="dxa"/>
              <w:left w:w="100" w:type="dxa"/>
              <w:right w:w="100" w:type="dxa"/>
            </w:tcMar>
            <w:shd w:fill="FFFFFF"/>
          </w:tcPr>
          <w:p>
            <w:pPr>
              <w:spacing w:after="0"/>
            </w:pPr>
            <w:r>
              <w:rPr>
                <w:b/>
                <w:color w:val="0F2744"/>
                <w:sz w:val="17"/>
              </w:rPr>
              <w:t>System Scope &amp; Purpose</w:t>
            </w:r>
          </w:p>
        </w:tc>
        <w:tc>
          <w:tcPr>
            <w:tcW w:type="dxa" w:w="3600"/>
            <w:vAlign w:val="center"/>
            <w:tcMar>
              <w:top w:w="80" w:type="dxa"/>
              <w:bottom w:w="80" w:type="dxa"/>
              <w:left w:w="100" w:type="dxa"/>
              <w:right w:w="100" w:type="dxa"/>
            </w:tcMar>
            <w:shd w:fill="FFFFFF"/>
          </w:tcPr>
          <w:p>
            <w:pPr>
              <w:spacing w:after="0"/>
            </w:pPr>
            <w:r>
              <w:rPr>
                <w:color w:val="1E293B"/>
                <w:sz w:val="17"/>
              </w:rPr>
              <w:t>Standard Practice Leave Management Software</w:t>
            </w:r>
          </w:p>
        </w:tc>
        <w:tc>
          <w:tcPr>
            <w:tcW w:type="dxa" w:w="3888"/>
            <w:vAlign w:val="center"/>
            <w:tcMar>
              <w:top w:w="80" w:type="dxa"/>
              <w:bottom w:w="80" w:type="dxa"/>
              <w:left w:w="100" w:type="dxa"/>
              <w:right w:w="100" w:type="dxa"/>
            </w:tcMar>
            <w:shd w:fill="F0FDF4"/>
          </w:tcPr>
          <w:p>
            <w:pPr>
              <w:spacing w:after="0"/>
            </w:pPr>
            <w:r>
              <w:rPr>
                <w:color w:val="1E293B"/>
                <w:sz w:val="17"/>
              </w:rPr>
              <w:t>Full-Scale Automated Practice &amp; Compliance Suite</w:t>
            </w:r>
          </w:p>
        </w:tc>
      </w:tr>
      <w:tr>
        <w:tc>
          <w:tcPr>
            <w:tcW w:type="dxa" w:w="2880"/>
            <w:vAlign w:val="center"/>
            <w:tcMar>
              <w:top w:w="80" w:type="dxa"/>
              <w:bottom w:w="80" w:type="dxa"/>
              <w:left w:w="100" w:type="dxa"/>
              <w:right w:w="100" w:type="dxa"/>
            </w:tcMar>
            <w:shd w:fill="F8FAFC"/>
          </w:tcPr>
          <w:p>
            <w:pPr>
              <w:spacing w:after="0"/>
            </w:pPr>
            <w:r>
              <w:rPr>
                <w:b/>
                <w:color w:val="0F2744"/>
                <w:sz w:val="17"/>
              </w:rPr>
              <w:t>Leave Policy Coverage</w:t>
            </w:r>
          </w:p>
        </w:tc>
        <w:tc>
          <w:tcPr>
            <w:tcW w:type="dxa" w:w="3600"/>
            <w:vAlign w:val="center"/>
            <w:tcMar>
              <w:top w:w="80" w:type="dxa"/>
              <w:bottom w:w="80" w:type="dxa"/>
              <w:left w:w="100" w:type="dxa"/>
              <w:right w:w="100" w:type="dxa"/>
            </w:tcMar>
            <w:shd w:fill="F8FAFC"/>
          </w:tcPr>
          <w:p>
            <w:pPr>
              <w:spacing w:after="0"/>
            </w:pPr>
            <w:r>
              <w:rPr>
                <w:color w:val="1E293B"/>
                <w:sz w:val="17"/>
              </w:rPr>
              <w:t>5 Core Firm Categories (VL, SL, Emergency, Bereavement, LWOP)</w:t>
            </w:r>
          </w:p>
        </w:tc>
        <w:tc>
          <w:tcPr>
            <w:tcW w:type="dxa" w:w="3888"/>
            <w:vAlign w:val="center"/>
            <w:tcMar>
              <w:top w:w="80" w:type="dxa"/>
              <w:bottom w:w="80" w:type="dxa"/>
              <w:left w:w="100" w:type="dxa"/>
              <w:right w:w="100" w:type="dxa"/>
            </w:tcMar>
            <w:shd w:fill="F0FDF4"/>
          </w:tcPr>
          <w:p>
            <w:pPr>
              <w:spacing w:after="0"/>
            </w:pPr>
            <w:r>
              <w:rPr>
                <w:color w:val="1E293B"/>
                <w:sz w:val="17"/>
              </w:rPr>
              <w:t>Full 12 Statutory &amp; Firm Categories (Solo Parent, Maternity, Paternity, Special Women, VAWC, Study, etc.)</w:t>
            </w:r>
          </w:p>
        </w:tc>
      </w:tr>
      <w:tr>
        <w:tc>
          <w:tcPr>
            <w:tcW w:type="dxa" w:w="2880"/>
            <w:vAlign w:val="center"/>
            <w:tcMar>
              <w:top w:w="80" w:type="dxa"/>
              <w:bottom w:w="80" w:type="dxa"/>
              <w:left w:w="100" w:type="dxa"/>
              <w:right w:w="100" w:type="dxa"/>
            </w:tcMar>
            <w:shd w:fill="FFFFFF"/>
          </w:tcPr>
          <w:p>
            <w:pPr>
              <w:spacing w:after="0"/>
            </w:pPr>
            <w:r>
              <w:rPr>
                <w:b/>
                <w:color w:val="0F2744"/>
                <w:sz w:val="17"/>
              </w:rPr>
              <w:t>Payroll Software Integration</w:t>
            </w:r>
          </w:p>
        </w:tc>
        <w:tc>
          <w:tcPr>
            <w:tcW w:type="dxa" w:w="3600"/>
            <w:vAlign w:val="center"/>
            <w:tcMar>
              <w:top w:w="80" w:type="dxa"/>
              <w:bottom w:w="80" w:type="dxa"/>
              <w:left w:w="100" w:type="dxa"/>
              <w:right w:w="100" w:type="dxa"/>
            </w:tcMar>
            <w:shd w:fill="FFFFFF"/>
          </w:tcPr>
          <w:p>
            <w:pPr>
              <w:spacing w:after="0"/>
            </w:pPr>
            <w:r>
              <w:rPr>
                <w:color w:val="1E293B"/>
                <w:sz w:val="17"/>
              </w:rPr>
              <w:t>Standard Table View &amp; Manual Entry</w:t>
            </w:r>
          </w:p>
        </w:tc>
        <w:tc>
          <w:tcPr>
            <w:tcW w:type="dxa" w:w="3888"/>
            <w:vAlign w:val="center"/>
            <w:tcMar>
              <w:top w:w="80" w:type="dxa"/>
              <w:bottom w:w="80" w:type="dxa"/>
              <w:left w:w="100" w:type="dxa"/>
              <w:right w:w="100" w:type="dxa"/>
            </w:tcMar>
            <w:shd w:fill="F0FDF4"/>
          </w:tcPr>
          <w:p>
            <w:pPr>
              <w:spacing w:after="0"/>
            </w:pPr>
            <w:r>
              <w:rPr>
                <w:color w:val="1E293B"/>
                <w:sz w:val="17"/>
              </w:rPr>
              <w:t>1-Click Formatted Payroll CSV Export (JuanTax, Sprout Solutions, QuickBooks, Excel) with Auto-Deductions</w:t>
            </w:r>
          </w:p>
        </w:tc>
      </w:tr>
      <w:tr>
        <w:tc>
          <w:tcPr>
            <w:tcW w:type="dxa" w:w="2880"/>
            <w:vAlign w:val="center"/>
            <w:tcMar>
              <w:top w:w="80" w:type="dxa"/>
              <w:bottom w:w="80" w:type="dxa"/>
              <w:left w:w="100" w:type="dxa"/>
              <w:right w:w="100" w:type="dxa"/>
            </w:tcMar>
            <w:shd w:fill="F8FAFC"/>
          </w:tcPr>
          <w:p>
            <w:pPr>
              <w:spacing w:after="0"/>
            </w:pPr>
            <w:r>
              <w:rPr>
                <w:b/>
                <w:color w:val="0F2744"/>
                <w:sz w:val="17"/>
              </w:rPr>
              <w:t>Year-End Financial Reserves</w:t>
            </w:r>
          </w:p>
        </w:tc>
        <w:tc>
          <w:tcPr>
            <w:tcW w:type="dxa" w:w="3600"/>
            <w:vAlign w:val="center"/>
            <w:tcMar>
              <w:top w:w="80" w:type="dxa"/>
              <w:bottom w:w="80" w:type="dxa"/>
              <w:left w:w="100" w:type="dxa"/>
              <w:right w:w="100" w:type="dxa"/>
            </w:tcMar>
            <w:shd w:fill="F8FAFC"/>
          </w:tcPr>
          <w:p>
            <w:pPr>
              <w:spacing w:after="0"/>
            </w:pPr>
            <w:r>
              <w:rPr>
                <w:color w:val="1E293B"/>
                <w:sz w:val="17"/>
              </w:rPr>
              <w:t>Manual Computation by Accounting Staff</w:t>
            </w:r>
          </w:p>
        </w:tc>
        <w:tc>
          <w:tcPr>
            <w:tcW w:type="dxa" w:w="3888"/>
            <w:vAlign w:val="center"/>
            <w:tcMar>
              <w:top w:w="80" w:type="dxa"/>
              <w:bottom w:w="80" w:type="dxa"/>
              <w:left w:w="100" w:type="dxa"/>
              <w:right w:w="100" w:type="dxa"/>
            </w:tcMar>
            <w:shd w:fill="F0FDF4"/>
          </w:tcPr>
          <w:p>
            <w:pPr>
              <w:spacing w:after="0"/>
            </w:pPr>
            <w:r>
              <w:rPr>
                <w:color w:val="1E293B"/>
                <w:sz w:val="17"/>
              </w:rPr>
              <w:t>Automated Real-Time Leave Cash Conversion Ledger &amp; Annual Liability Reserve Calculator</w:t>
            </w:r>
          </w:p>
        </w:tc>
      </w:tr>
      <w:tr>
        <w:tc>
          <w:tcPr>
            <w:tcW w:type="dxa" w:w="2880"/>
            <w:vAlign w:val="center"/>
            <w:tcMar>
              <w:top w:w="80" w:type="dxa"/>
              <w:bottom w:w="80" w:type="dxa"/>
              <w:left w:w="100" w:type="dxa"/>
              <w:right w:w="100" w:type="dxa"/>
            </w:tcMar>
            <w:shd w:fill="FFFFFF"/>
          </w:tcPr>
          <w:p>
            <w:pPr>
              <w:spacing w:after="0"/>
            </w:pPr>
            <w:r>
              <w:rPr>
                <w:b/>
                <w:color w:val="0F2744"/>
                <w:sz w:val="17"/>
              </w:rPr>
              <w:t>Team Workforce Scheduling</w:t>
            </w:r>
          </w:p>
        </w:tc>
        <w:tc>
          <w:tcPr>
            <w:tcW w:type="dxa" w:w="3600"/>
            <w:vAlign w:val="center"/>
            <w:tcMar>
              <w:top w:w="80" w:type="dxa"/>
              <w:bottom w:w="80" w:type="dxa"/>
              <w:left w:w="100" w:type="dxa"/>
              <w:right w:w="100" w:type="dxa"/>
            </w:tcMar>
            <w:shd w:fill="FFFFFF"/>
          </w:tcPr>
          <w:p>
            <w:pPr>
              <w:spacing w:after="0"/>
            </w:pPr>
            <w:r>
              <w:rPr>
                <w:color w:val="1E293B"/>
                <w:sz w:val="17"/>
              </w:rPr>
              <w:t>Standard List Ledger by Department</w:t>
            </w:r>
          </w:p>
        </w:tc>
        <w:tc>
          <w:tcPr>
            <w:tcW w:type="dxa" w:w="3888"/>
            <w:vAlign w:val="center"/>
            <w:tcMar>
              <w:top w:w="80" w:type="dxa"/>
              <w:bottom w:w="80" w:type="dxa"/>
              <w:left w:w="100" w:type="dxa"/>
              <w:right w:w="100" w:type="dxa"/>
            </w:tcMar>
            <w:shd w:fill="F0FDF4"/>
          </w:tcPr>
          <w:p>
            <w:pPr>
              <w:spacing w:after="0"/>
            </w:pPr>
            <w:r>
              <w:rPr>
                <w:color w:val="1E293B"/>
                <w:sz w:val="17"/>
              </w:rPr>
              <w:t>Interactive Multi-Department Absence Calendar with Visual Availability &amp; Audit Schedule Sync</w:t>
            </w:r>
          </w:p>
        </w:tc>
      </w:tr>
      <w:tr>
        <w:tc>
          <w:tcPr>
            <w:tcW w:type="dxa" w:w="2880"/>
            <w:vAlign w:val="center"/>
            <w:tcMar>
              <w:top w:w="80" w:type="dxa"/>
              <w:bottom w:w="80" w:type="dxa"/>
              <w:left w:w="100" w:type="dxa"/>
              <w:right w:w="100" w:type="dxa"/>
            </w:tcMar>
            <w:shd w:fill="F8FAFC"/>
          </w:tcPr>
          <w:p>
            <w:pPr>
              <w:spacing w:after="0"/>
            </w:pPr>
            <w:r>
              <w:rPr>
                <w:b/>
                <w:color w:val="0F2744"/>
                <w:sz w:val="17"/>
              </w:rPr>
              <w:t>Document Proof Verification</w:t>
            </w:r>
          </w:p>
        </w:tc>
        <w:tc>
          <w:tcPr>
            <w:tcW w:type="dxa" w:w="3600"/>
            <w:vAlign w:val="center"/>
            <w:tcMar>
              <w:top w:w="80" w:type="dxa"/>
              <w:bottom w:w="80" w:type="dxa"/>
              <w:left w:w="100" w:type="dxa"/>
              <w:right w:w="100" w:type="dxa"/>
            </w:tcMar>
            <w:shd w:fill="F8FAFC"/>
          </w:tcPr>
          <w:p>
            <w:pPr>
              <w:spacing w:after="0"/>
            </w:pPr>
            <w:r>
              <w:rPr>
                <w:color w:val="1E293B"/>
                <w:sz w:val="17"/>
              </w:rPr>
              <w:t>Physical Paper Document Submission</w:t>
            </w:r>
          </w:p>
        </w:tc>
        <w:tc>
          <w:tcPr>
            <w:tcW w:type="dxa" w:w="3888"/>
            <w:vAlign w:val="center"/>
            <w:tcMar>
              <w:top w:w="80" w:type="dxa"/>
              <w:bottom w:w="80" w:type="dxa"/>
              <w:left w:w="100" w:type="dxa"/>
              <w:right w:w="100" w:type="dxa"/>
            </w:tcMar>
            <w:shd w:fill="F0FDF4"/>
          </w:tcPr>
          <w:p>
            <w:pPr>
              <w:spacing w:after="0"/>
            </w:pPr>
            <w:r>
              <w:rPr>
                <w:color w:val="1E293B"/>
                <w:sz w:val="17"/>
              </w:rPr>
              <w:t>In-App Medical Certificate &amp; Document Proof Uploader &amp; 1-Click Secure In-App Viewer</w:t>
            </w:r>
          </w:p>
        </w:tc>
      </w:tr>
      <w:tr>
        <w:tc>
          <w:tcPr>
            <w:tcW w:type="dxa" w:w="2880"/>
            <w:vAlign w:val="center"/>
            <w:tcMar>
              <w:top w:w="80" w:type="dxa"/>
              <w:bottom w:w="80" w:type="dxa"/>
              <w:left w:w="100" w:type="dxa"/>
              <w:right w:w="100" w:type="dxa"/>
            </w:tcMar>
            <w:shd w:fill="FFFFFF"/>
          </w:tcPr>
          <w:p>
            <w:pPr>
              <w:spacing w:after="0"/>
            </w:pPr>
            <w:r>
              <w:rPr>
                <w:b/>
                <w:color w:val="0F2744"/>
                <w:sz w:val="17"/>
              </w:rPr>
              <w:t>Compliance &amp; Security Logs</w:t>
            </w:r>
          </w:p>
        </w:tc>
        <w:tc>
          <w:tcPr>
            <w:tcW w:type="dxa" w:w="3600"/>
            <w:vAlign w:val="center"/>
            <w:tcMar>
              <w:top w:w="80" w:type="dxa"/>
              <w:bottom w:w="80" w:type="dxa"/>
              <w:left w:w="100" w:type="dxa"/>
              <w:right w:w="100" w:type="dxa"/>
            </w:tcMar>
            <w:shd w:fill="FFFFFF"/>
          </w:tcPr>
          <w:p>
            <w:pPr>
              <w:spacing w:after="0"/>
            </w:pPr>
            <w:r>
              <w:rPr>
                <w:color w:val="1E293B"/>
                <w:sz w:val="17"/>
              </w:rPr>
              <w:t>Standard Application Database Records</w:t>
            </w:r>
          </w:p>
        </w:tc>
        <w:tc>
          <w:tcPr>
            <w:tcW w:type="dxa" w:w="3888"/>
            <w:vAlign w:val="center"/>
            <w:tcMar>
              <w:top w:w="80" w:type="dxa"/>
              <w:bottom w:w="80" w:type="dxa"/>
              <w:left w:w="100" w:type="dxa"/>
              <w:right w:w="100" w:type="dxa"/>
            </w:tcMar>
            <w:shd w:fill="F0FDF4"/>
          </w:tcPr>
          <w:p>
            <w:pPr>
              <w:spacing w:after="0"/>
            </w:pPr>
            <w:r>
              <w:rPr>
                <w:color w:val="1E293B"/>
                <w:sz w:val="17"/>
              </w:rPr>
              <w:t>Immutable Enterprise Audit Trail with IP Tracking, User Identification, and Timestamps</w:t>
            </w:r>
          </w:p>
        </w:tc>
      </w:tr>
      <w:tr>
        <w:tc>
          <w:tcPr>
            <w:tcW w:type="dxa" w:w="2880"/>
            <w:vAlign w:val="center"/>
            <w:tcMar>
              <w:top w:w="80" w:type="dxa"/>
              <w:bottom w:w="80" w:type="dxa"/>
              <w:left w:w="100" w:type="dxa"/>
              <w:right w:w="100" w:type="dxa"/>
            </w:tcMar>
            <w:shd w:fill="F8FAFC"/>
          </w:tcPr>
          <w:p>
            <w:pPr>
              <w:spacing w:after="0"/>
            </w:pPr>
            <w:r>
              <w:rPr>
                <w:b/>
                <w:color w:val="0F2744"/>
                <w:sz w:val="17"/>
              </w:rPr>
              <w:t>Automated Alerts</w:t>
            </w:r>
          </w:p>
        </w:tc>
        <w:tc>
          <w:tcPr>
            <w:tcW w:type="dxa" w:w="3600"/>
            <w:vAlign w:val="center"/>
            <w:tcMar>
              <w:top w:w="80" w:type="dxa"/>
              <w:bottom w:w="80" w:type="dxa"/>
              <w:left w:w="100" w:type="dxa"/>
              <w:right w:w="100" w:type="dxa"/>
            </w:tcMar>
            <w:shd w:fill="F8FAFC"/>
          </w:tcPr>
          <w:p>
            <w:pPr>
              <w:spacing w:after="0"/>
            </w:pPr>
            <w:r>
              <w:rPr>
                <w:color w:val="1E293B"/>
                <w:sz w:val="17"/>
              </w:rPr>
              <w:t>In-App Dashboard Notifications</w:t>
            </w:r>
          </w:p>
        </w:tc>
        <w:tc>
          <w:tcPr>
            <w:tcW w:type="dxa" w:w="3888"/>
            <w:vAlign w:val="center"/>
            <w:tcMar>
              <w:top w:w="80" w:type="dxa"/>
              <w:bottom w:w="80" w:type="dxa"/>
              <w:left w:w="100" w:type="dxa"/>
              <w:right w:w="100" w:type="dxa"/>
            </w:tcMar>
            <w:shd w:fill="F0FDF4"/>
          </w:tcPr>
          <w:p>
            <w:pPr>
              <w:spacing w:after="0"/>
            </w:pPr>
            <w:r>
              <w:rPr>
                <w:color w:val="1E293B"/>
                <w:sz w:val="17"/>
              </w:rPr>
              <w:t>Real-Time Automated Transactional Email Alerts for Submissions, Approvals, and Rejections</w:t>
            </w:r>
          </w:p>
        </w:tc>
      </w:tr>
      <w:tr>
        <w:tc>
          <w:tcPr>
            <w:tcW w:type="dxa" w:w="2880"/>
            <w:vAlign w:val="center"/>
            <w:tcMar>
              <w:top w:w="80" w:type="dxa"/>
              <w:bottom w:w="80" w:type="dxa"/>
              <w:left w:w="100" w:type="dxa"/>
              <w:right w:w="100" w:type="dxa"/>
            </w:tcMar>
            <w:shd w:fill="FFFFFF"/>
          </w:tcPr>
          <w:p>
            <w:pPr>
              <w:spacing w:after="0"/>
            </w:pPr>
            <w:r>
              <w:rPr>
                <w:b/>
                <w:color w:val="0F2744"/>
                <w:sz w:val="17"/>
              </w:rPr>
              <w:t>Working Days Calculation</w:t>
            </w:r>
          </w:p>
        </w:tc>
        <w:tc>
          <w:tcPr>
            <w:tcW w:type="dxa" w:w="3600"/>
            <w:vAlign w:val="center"/>
            <w:tcMar>
              <w:top w:w="80" w:type="dxa"/>
              <w:bottom w:w="80" w:type="dxa"/>
              <w:left w:w="100" w:type="dxa"/>
              <w:right w:w="100" w:type="dxa"/>
            </w:tcMar>
            <w:shd w:fill="FFFFFF"/>
          </w:tcPr>
          <w:p>
            <w:pPr>
              <w:spacing w:after="0"/>
            </w:pPr>
            <w:r>
              <w:rPr>
                <w:color w:val="1E293B"/>
                <w:sz w:val="17"/>
              </w:rPr>
              <w:t>Consecutive Calendar Days Math</w:t>
            </w:r>
          </w:p>
        </w:tc>
        <w:tc>
          <w:tcPr>
            <w:tcW w:type="dxa" w:w="3888"/>
            <w:vAlign w:val="center"/>
            <w:tcMar>
              <w:top w:w="80" w:type="dxa"/>
              <w:bottom w:w="80" w:type="dxa"/>
              <w:left w:w="100" w:type="dxa"/>
              <w:right w:w="100" w:type="dxa"/>
            </w:tcMar>
            <w:shd w:fill="F0FDF4"/>
          </w:tcPr>
          <w:p>
            <w:pPr>
              <w:spacing w:after="0"/>
            </w:pPr>
            <w:r>
              <w:rPr>
                <w:color w:val="1E293B"/>
                <w:sz w:val="17"/>
              </w:rPr>
              <w:t>Automated Working Days Engine (Auto-Excludes Weekends &amp; Official Regular/Special Holidays)</w:t>
            </w:r>
          </w:p>
        </w:tc>
      </w:tr>
      <w:tr>
        <w:tc>
          <w:tcPr>
            <w:tcW w:type="dxa" w:w="2880"/>
            <w:vAlign w:val="center"/>
            <w:tcMar>
              <w:top w:w="80" w:type="dxa"/>
              <w:bottom w:w="80" w:type="dxa"/>
              <w:left w:w="100" w:type="dxa"/>
              <w:right w:w="100" w:type="dxa"/>
            </w:tcMar>
            <w:shd w:fill="F8FAFC"/>
          </w:tcPr>
          <w:p>
            <w:pPr>
              <w:spacing w:after="0"/>
            </w:pPr>
            <w:r>
              <w:rPr>
                <w:b/>
                <w:color w:val="0F2744"/>
                <w:sz w:val="17"/>
              </w:rPr>
              <w:t>Tax Season Governance</w:t>
            </w:r>
          </w:p>
        </w:tc>
        <w:tc>
          <w:tcPr>
            <w:tcW w:type="dxa" w:w="3600"/>
            <w:vAlign w:val="center"/>
            <w:tcMar>
              <w:top w:w="80" w:type="dxa"/>
              <w:bottom w:w="80" w:type="dxa"/>
              <w:left w:w="100" w:type="dxa"/>
              <w:right w:w="100" w:type="dxa"/>
            </w:tcMar>
            <w:shd w:fill="F8FAFC"/>
          </w:tcPr>
          <w:p>
            <w:pPr>
              <w:spacing w:after="0"/>
            </w:pPr>
            <w:r>
              <w:rPr>
                <w:color w:val="1E293B"/>
                <w:sz w:val="17"/>
              </w:rPr>
              <w:t>Standard Partner Review</w:t>
            </w:r>
          </w:p>
        </w:tc>
        <w:tc>
          <w:tcPr>
            <w:tcW w:type="dxa" w:w="3888"/>
            <w:vAlign w:val="center"/>
            <w:tcMar>
              <w:top w:w="80" w:type="dxa"/>
              <w:bottom w:w="80" w:type="dxa"/>
              <w:left w:w="100" w:type="dxa"/>
              <w:right w:w="100" w:type="dxa"/>
            </w:tcMar>
            <w:shd w:fill="F0FDF4"/>
          </w:tcPr>
          <w:p>
            <w:pPr>
              <w:spacing w:after="0"/>
            </w:pPr>
            <w:r>
              <w:rPr>
                <w:color w:val="1E293B"/>
                <w:sz w:val="17"/>
              </w:rPr>
              <w:t>Peak Tax Season Blackout Advisory Engine with Client Engagement Clearance Alerts</w:t>
            </w:r>
          </w:p>
        </w:tc>
      </w:tr>
      <w:tr>
        <w:tc>
          <w:tcPr>
            <w:tcW w:type="dxa" w:w="2880"/>
            <w:vAlign w:val="center"/>
            <w:tcMar>
              <w:top w:w="80" w:type="dxa"/>
              <w:bottom w:w="80" w:type="dxa"/>
              <w:left w:w="100" w:type="dxa"/>
              <w:right w:w="100" w:type="dxa"/>
            </w:tcMar>
            <w:shd w:fill="FFFFFF"/>
          </w:tcPr>
          <w:p>
            <w:pPr>
              <w:spacing w:after="0"/>
            </w:pPr>
            <w:r>
              <w:rPr>
                <w:b/>
                <w:color w:val="0F2744"/>
                <w:sz w:val="17"/>
              </w:rPr>
              <w:t>Accrual &amp; Rollover Engine</w:t>
            </w:r>
          </w:p>
        </w:tc>
        <w:tc>
          <w:tcPr>
            <w:tcW w:type="dxa" w:w="3600"/>
            <w:vAlign w:val="center"/>
            <w:tcMar>
              <w:top w:w="80" w:type="dxa"/>
              <w:bottom w:w="80" w:type="dxa"/>
              <w:left w:w="100" w:type="dxa"/>
              <w:right w:w="100" w:type="dxa"/>
            </w:tcMar>
            <w:shd w:fill="FFFFFF"/>
          </w:tcPr>
          <w:p>
            <w:pPr>
              <w:spacing w:after="0"/>
            </w:pPr>
            <w:r>
              <w:rPr>
                <w:color w:val="1E293B"/>
                <w:sz w:val="17"/>
              </w:rPr>
              <w:t>Manual Periodic Balance Adjustments</w:t>
            </w:r>
          </w:p>
        </w:tc>
        <w:tc>
          <w:tcPr>
            <w:tcW w:type="dxa" w:w="3888"/>
            <w:vAlign w:val="center"/>
            <w:tcMar>
              <w:top w:w="80" w:type="dxa"/>
              <w:bottom w:w="80" w:type="dxa"/>
              <w:left w:w="100" w:type="dxa"/>
              <w:right w:w="100" w:type="dxa"/>
            </w:tcMar>
            <w:shd w:fill="F0FDF4"/>
          </w:tcPr>
          <w:p>
            <w:pPr>
              <w:spacing w:after="0"/>
            </w:pPr>
            <w:r>
              <w:rPr>
                <w:color w:val="1E293B"/>
                <w:sz w:val="17"/>
              </w:rPr>
              <w:t>Automated Monthly Accruals (+1.25d/mo) &amp; Annual Fiscal Year Rollover Engine</w:t>
            </w:r>
          </w:p>
        </w:tc>
      </w:tr>
      <w:tr>
        <w:tc>
          <w:tcPr>
            <w:tcW w:type="dxa" w:w="2880"/>
            <w:vAlign w:val="center"/>
            <w:tcMar>
              <w:top w:w="80" w:type="dxa"/>
              <w:bottom w:w="80" w:type="dxa"/>
              <w:left w:w="100" w:type="dxa"/>
              <w:right w:w="100" w:type="dxa"/>
            </w:tcMar>
            <w:shd w:fill="F8FAFC"/>
          </w:tcPr>
          <w:p>
            <w:pPr>
              <w:spacing w:after="0"/>
            </w:pPr>
            <w:r>
              <w:rPr>
                <w:b/>
                <w:color w:val="0F2744"/>
                <w:sz w:val="17"/>
              </w:rPr>
              <w:t>User Access Control (RBAC)</w:t>
            </w:r>
          </w:p>
        </w:tc>
        <w:tc>
          <w:tcPr>
            <w:tcW w:type="dxa" w:w="3600"/>
            <w:vAlign w:val="center"/>
            <w:tcMar>
              <w:top w:w="80" w:type="dxa"/>
              <w:bottom w:w="80" w:type="dxa"/>
              <w:left w:w="100" w:type="dxa"/>
              <w:right w:w="100" w:type="dxa"/>
            </w:tcMar>
            <w:shd w:fill="F8FAFC"/>
          </w:tcPr>
          <w:p>
            <w:pPr>
              <w:spacing w:after="0"/>
            </w:pPr>
            <w:r>
              <w:rPr>
                <w:color w:val="1E293B"/>
                <w:sz w:val="17"/>
              </w:rPr>
              <w:t>Role-Based Access (Staff, Senior, Partner/HR)</w:t>
            </w:r>
          </w:p>
        </w:tc>
        <w:tc>
          <w:tcPr>
            <w:tcW w:type="dxa" w:w="3888"/>
            <w:vAlign w:val="center"/>
            <w:tcMar>
              <w:top w:w="80" w:type="dxa"/>
              <w:bottom w:w="80" w:type="dxa"/>
              <w:left w:w="100" w:type="dxa"/>
              <w:right w:w="100" w:type="dxa"/>
            </w:tcMar>
            <w:shd w:fill="F0FDF4"/>
          </w:tcPr>
          <w:p>
            <w:pPr>
              <w:spacing w:after="0"/>
            </w:pPr>
            <w:r>
              <w:rPr>
                <w:color w:val="1E293B"/>
                <w:sz w:val="17"/>
              </w:rPr>
              <w:t>Advanced Multi-Level Governance &amp; Delegated Approvals</w:t>
            </w:r>
          </w:p>
        </w:tc>
      </w:tr>
      <w:tr>
        <w:tc>
          <w:tcPr>
            <w:tcW w:type="dxa" w:w="2880"/>
            <w:vAlign w:val="center"/>
            <w:tcMar>
              <w:top w:w="80" w:type="dxa"/>
              <w:bottom w:w="80" w:type="dxa"/>
              <w:left w:w="100" w:type="dxa"/>
              <w:right w:w="100" w:type="dxa"/>
            </w:tcMar>
            <w:shd w:fill="FFFFFF"/>
          </w:tcPr>
          <w:p>
            <w:pPr>
              <w:spacing w:after="0"/>
            </w:pPr>
            <w:r>
              <w:rPr>
                <w:b/>
                <w:color w:val="0F2744"/>
                <w:sz w:val="17"/>
              </w:rPr>
              <w:t>Production Deployment</w:t>
            </w:r>
          </w:p>
        </w:tc>
        <w:tc>
          <w:tcPr>
            <w:tcW w:type="dxa" w:w="3600"/>
            <w:vAlign w:val="center"/>
            <w:tcMar>
              <w:top w:w="80" w:type="dxa"/>
              <w:bottom w:w="80" w:type="dxa"/>
              <w:left w:w="100" w:type="dxa"/>
              <w:right w:w="100" w:type="dxa"/>
            </w:tcMar>
            <w:shd w:fill="FFFFFF"/>
          </w:tcPr>
          <w:p>
            <w:pPr>
              <w:spacing w:after="0"/>
            </w:pPr>
            <w:r>
              <w:rPr>
                <w:color w:val="1E293B"/>
                <w:sz w:val="17"/>
              </w:rPr>
              <w:t>Full Server Setup, Database Config &amp; SSL</w:t>
            </w:r>
          </w:p>
        </w:tc>
        <w:tc>
          <w:tcPr>
            <w:tcW w:type="dxa" w:w="3888"/>
            <w:vAlign w:val="center"/>
            <w:tcMar>
              <w:top w:w="80" w:type="dxa"/>
              <w:bottom w:w="80" w:type="dxa"/>
              <w:left w:w="100" w:type="dxa"/>
              <w:right w:w="100" w:type="dxa"/>
            </w:tcMar>
            <w:shd w:fill="F0FDF4"/>
          </w:tcPr>
          <w:p>
            <w:pPr>
              <w:spacing w:after="0"/>
            </w:pPr>
            <w:r>
              <w:rPr>
                <w:color w:val="1E293B"/>
                <w:sz w:val="17"/>
              </w:rPr>
              <w:t>Full Server Setup, Database Config, SSL &amp; Scheduled Auto-Backups</w:t>
            </w:r>
          </w:p>
        </w:tc>
      </w:tr>
      <w:tr>
        <w:tc>
          <w:tcPr>
            <w:tcW w:type="dxa" w:w="2880"/>
            <w:vAlign w:val="center"/>
            <w:tcMar>
              <w:top w:w="80" w:type="dxa"/>
              <w:bottom w:w="80" w:type="dxa"/>
              <w:left w:w="100" w:type="dxa"/>
              <w:right w:w="100" w:type="dxa"/>
            </w:tcMar>
            <w:shd w:fill="F8FAFC"/>
          </w:tcPr>
          <w:p>
            <w:pPr>
              <w:spacing w:after="0"/>
            </w:pPr>
            <w:r>
              <w:rPr>
                <w:b/>
                <w:color w:val="0F2744"/>
                <w:sz w:val="17"/>
              </w:rPr>
              <w:t>Warranty &amp; SLA Support</w:t>
            </w:r>
          </w:p>
        </w:tc>
        <w:tc>
          <w:tcPr>
            <w:tcW w:type="dxa" w:w="3600"/>
            <w:vAlign w:val="center"/>
            <w:tcMar>
              <w:top w:w="80" w:type="dxa"/>
              <w:bottom w:w="80" w:type="dxa"/>
              <w:left w:w="100" w:type="dxa"/>
              <w:right w:w="100" w:type="dxa"/>
            </w:tcMar>
            <w:shd w:fill="F8FAFC"/>
          </w:tcPr>
          <w:p>
            <w:pPr>
              <w:spacing w:after="0"/>
            </w:pPr>
            <w:r>
              <w:rPr>
                <w:color w:val="1E293B"/>
                <w:sz w:val="17"/>
              </w:rPr>
              <w:t>60 Days Standard Maintenance Support</w:t>
            </w:r>
          </w:p>
        </w:tc>
        <w:tc>
          <w:tcPr>
            <w:tcW w:type="dxa" w:w="3888"/>
            <w:vAlign w:val="center"/>
            <w:tcMar>
              <w:top w:w="80" w:type="dxa"/>
              <w:bottom w:w="80" w:type="dxa"/>
              <w:left w:w="100" w:type="dxa"/>
              <w:right w:w="100" w:type="dxa"/>
            </w:tcMar>
            <w:shd w:fill="F0FDF4"/>
          </w:tcPr>
          <w:p>
            <w:pPr>
              <w:spacing w:after="0"/>
            </w:pPr>
            <w:r>
              <w:rPr>
                <w:color w:val="1E293B"/>
                <w:sz w:val="17"/>
              </w:rPr>
              <w:t>3 Months Priority SLA Support + Live Staff Onboarding &amp; Training Session</w:t>
            </w:r>
          </w:p>
        </w:tc>
      </w:tr>
    </w:tbl>
    <w:p>
      <w:pPr>
        <w:spacing w:after="240"/>
      </w:pPr>
    </w:p>
    <w:p>
      <w:r>
        <w:rPr>
          <w:b/>
          <w:color w:val="0F2744"/>
          <w:sz w:val="28"/>
        </w:rPr>
        <w:t>3. Detailed Package Breakdown</w:t>
      </w:r>
    </w:p>
    <w:p>
      <w:r>
        <w:rPr>
          <w:b/>
          <w:color w:val="0F2744"/>
          <w:sz w:val="23"/>
        </w:rPr>
        <w:t>🥈 Tier 1: Core Practice Management Edition — ₱75,000</w:t>
      </w:r>
    </w:p>
    <w:p>
      <w:pPr>
        <w:pStyle w:val="ListBullet"/>
        <w:spacing w:after="60"/>
      </w:pPr>
      <w:r>
        <w:rPr>
          <w:b/>
          <w:color w:val="1E293B"/>
          <w:sz w:val="19"/>
        </w:rPr>
        <w:t xml:space="preserve">Role-Based Access Control (RBAC): </w:t>
      </w:r>
      <w:r>
        <w:rPr>
          <w:color w:val="1E293B"/>
          <w:sz w:val="19"/>
        </w:rPr>
        <w:t>Multi-role secure architecture with individual login credentials for Staff Associates, Senior Auditors, HR, and Managing Partners.</w:t>
      </w:r>
    </w:p>
    <w:p>
      <w:pPr>
        <w:pStyle w:val="ListBullet"/>
        <w:spacing w:after="60"/>
      </w:pPr>
      <w:r>
        <w:rPr>
          <w:b/>
          <w:color w:val="1E293B"/>
          <w:sz w:val="19"/>
        </w:rPr>
        <w:t xml:space="preserve">Real-Time Leave Balance Ledger: </w:t>
      </w:r>
      <w:r>
        <w:rPr>
          <w:color w:val="1E293B"/>
          <w:sz w:val="19"/>
        </w:rPr>
        <w:t>Dynamic tracking of employee annual leave entitlements (Vacation Leave, Sick Leave, Emergency, Bereavement, LWOP) with instant deduction updates.</w:t>
      </w:r>
    </w:p>
    <w:p>
      <w:pPr>
        <w:pStyle w:val="ListBullet"/>
        <w:spacing w:after="60"/>
      </w:pPr>
      <w:r>
        <w:rPr>
          <w:b/>
          <w:color w:val="1E293B"/>
          <w:sz w:val="19"/>
        </w:rPr>
        <w:t xml:space="preserve">Structured Partner Approval Governance: </w:t>
      </w:r>
      <w:r>
        <w:rPr>
          <w:color w:val="1E293B"/>
          <w:sz w:val="19"/>
        </w:rPr>
        <w:t>Executive portal allowing Managing Partners to review, approve, or reject requests with customized feedback notes.</w:t>
      </w:r>
    </w:p>
    <w:p>
      <w:pPr>
        <w:pStyle w:val="ListBullet"/>
        <w:spacing w:after="60"/>
      </w:pPr>
      <w:r>
        <w:rPr>
          <w:b/>
          <w:color w:val="1E293B"/>
          <w:sz w:val="19"/>
        </w:rPr>
        <w:t xml:space="preserve">Partner Proxy Leave Filing: </w:t>
      </w:r>
      <w:r>
        <w:rPr>
          <w:color w:val="1E293B"/>
          <w:sz w:val="19"/>
        </w:rPr>
        <w:t>Capability for Managing Partners and HR to file and adjust leaves directly on behalf of any team member.</w:t>
      </w:r>
    </w:p>
    <w:p>
      <w:pPr>
        <w:pStyle w:val="ListBullet"/>
        <w:spacing w:after="60"/>
      </w:pPr>
      <w:r>
        <w:rPr>
          <w:b/>
          <w:color w:val="1E293B"/>
          <w:sz w:val="19"/>
        </w:rPr>
        <w:t xml:space="preserve">Employee Self-Service Portal: </w:t>
      </w:r>
      <w:r>
        <w:rPr>
          <w:color w:val="1E293B"/>
          <w:sz w:val="19"/>
        </w:rPr>
        <w:t>Dedicated dashboard for associates to check available leave balances, submit requests, and track approval status in real-time.</w:t>
      </w:r>
    </w:p>
    <w:p>
      <w:pPr>
        <w:pStyle w:val="ListBullet"/>
        <w:spacing w:after="60"/>
      </w:pPr>
      <w:r>
        <w:rPr>
          <w:b/>
          <w:color w:val="1E293B"/>
          <w:sz w:val="19"/>
        </w:rPr>
        <w:t xml:space="preserve">Master Firm Leave Ledger: </w:t>
      </w:r>
      <w:r>
        <w:rPr>
          <w:color w:val="1E293B"/>
          <w:sz w:val="19"/>
        </w:rPr>
        <w:t>Filterable firm-wide ledger with search capabilities and historical record tracking.</w:t>
      </w:r>
    </w:p>
    <w:p>
      <w:pPr>
        <w:pStyle w:val="ListBullet"/>
        <w:spacing w:after="60"/>
      </w:pPr>
      <w:r>
        <w:rPr>
          <w:b/>
          <w:color w:val="1E293B"/>
          <w:sz w:val="19"/>
        </w:rPr>
        <w:t xml:space="preserve">Production Server Deployment &amp; Setup: </w:t>
      </w:r>
      <w:r>
        <w:rPr>
          <w:color w:val="1E293B"/>
          <w:sz w:val="19"/>
        </w:rPr>
        <w:t>Complete production deployment, database schema setup, and SSL security configuration on firm infrastructure.</w:t>
      </w:r>
    </w:p>
    <w:p>
      <w:pPr>
        <w:pStyle w:val="ListBullet"/>
        <w:spacing w:after="60"/>
      </w:pPr>
      <w:r>
        <w:rPr>
          <w:b/>
          <w:color w:val="1E293B"/>
          <w:sz w:val="19"/>
        </w:rPr>
        <w:t xml:space="preserve">Warranty &amp; Technical Support: </w:t>
      </w:r>
      <w:r>
        <w:rPr>
          <w:color w:val="1E293B"/>
          <w:sz w:val="19"/>
        </w:rPr>
        <w:t>60 Days standard bug-fix warranty and system maintenance.</w:t>
      </w:r>
    </w:p>
    <w:p>
      <w:pPr>
        <w:spacing w:after="80"/>
      </w:pPr>
    </w:p>
    <w:p>
      <w:r>
        <w:rPr>
          <w:b/>
          <w:color w:val="0284C7"/>
          <w:sz w:val="23"/>
        </w:rPr>
        <w:t>🥇 Tier 2: Enterprise Practice Cloud Suite — ₱85,000 ⭐ (Recommended Flagship Package)</w:t>
      </w:r>
    </w:p>
    <w:p>
      <w:pPr>
        <w:pStyle w:val="ListBullet"/>
        <w:spacing w:after="60"/>
      </w:pPr>
      <w:r>
        <w:rPr>
          <w:b/>
          <w:color w:val="1E293B"/>
          <w:sz w:val="19"/>
        </w:rPr>
        <w:t xml:space="preserve">Role-Based Access Control (RBAC): </w:t>
      </w:r>
      <w:r>
        <w:rPr>
          <w:color w:val="1E293B"/>
          <w:sz w:val="19"/>
        </w:rPr>
        <w:t>Multi-role secure architecture with individual login credentials for Staff Associates, Senior Auditors, HR, and Managing Partners.</w:t>
      </w:r>
    </w:p>
    <w:p>
      <w:pPr>
        <w:pStyle w:val="ListBullet"/>
        <w:spacing w:after="60"/>
      </w:pPr>
      <w:r>
        <w:rPr>
          <w:b/>
          <w:color w:val="1E293B"/>
          <w:sz w:val="19"/>
        </w:rPr>
        <w:t xml:space="preserve">Real-Time Leave Balance Ledger: </w:t>
      </w:r>
      <w:r>
        <w:rPr>
          <w:color w:val="1E293B"/>
          <w:sz w:val="19"/>
        </w:rPr>
        <w:t>Dynamic tracking of employee annual leave entitlements (Vacation Leave, Sick Leave, Emergency, Bereavement, LWOP) with instant deduction updates.</w:t>
      </w:r>
    </w:p>
    <w:p>
      <w:pPr>
        <w:pStyle w:val="ListBullet"/>
        <w:spacing w:after="60"/>
      </w:pPr>
      <w:r>
        <w:rPr>
          <w:b/>
          <w:color w:val="1E293B"/>
          <w:sz w:val="19"/>
        </w:rPr>
        <w:t xml:space="preserve">Structured Partner Approval Governance: </w:t>
      </w:r>
      <w:r>
        <w:rPr>
          <w:color w:val="1E293B"/>
          <w:sz w:val="19"/>
        </w:rPr>
        <w:t>Executive portal allowing Managing Partners to review, approve, or reject requests with customized feedback notes.</w:t>
      </w:r>
    </w:p>
    <w:p>
      <w:pPr>
        <w:pStyle w:val="ListBullet"/>
        <w:spacing w:after="60"/>
      </w:pPr>
      <w:r>
        <w:rPr>
          <w:b/>
          <w:color w:val="1E293B"/>
          <w:sz w:val="19"/>
        </w:rPr>
        <w:t xml:space="preserve">Partner Proxy Leave Filing: </w:t>
      </w:r>
      <w:r>
        <w:rPr>
          <w:color w:val="1E293B"/>
          <w:sz w:val="19"/>
        </w:rPr>
        <w:t>Capability for Managing Partners and HR to file and adjust leaves directly on behalf of any team member.</w:t>
      </w:r>
    </w:p>
    <w:p>
      <w:pPr>
        <w:pStyle w:val="ListBullet"/>
        <w:spacing w:after="60"/>
      </w:pPr>
      <w:r>
        <w:rPr>
          <w:b/>
          <w:color w:val="1E293B"/>
          <w:sz w:val="19"/>
        </w:rPr>
        <w:t xml:space="preserve">Employee Self-Service Portal: </w:t>
      </w:r>
      <w:r>
        <w:rPr>
          <w:color w:val="1E293B"/>
          <w:sz w:val="19"/>
        </w:rPr>
        <w:t>Dedicated dashboard for associates to check available leave balances, submit requests, and track approval status in real-time.</w:t>
      </w:r>
    </w:p>
    <w:p>
      <w:pPr>
        <w:pStyle w:val="ListBullet"/>
        <w:spacing w:after="60"/>
      </w:pPr>
      <w:r>
        <w:rPr>
          <w:b/>
          <w:color w:val="1E293B"/>
          <w:sz w:val="19"/>
        </w:rPr>
        <w:t xml:space="preserve">Master Firm Leave Ledger: </w:t>
      </w:r>
      <w:r>
        <w:rPr>
          <w:color w:val="1E293B"/>
          <w:sz w:val="19"/>
        </w:rPr>
        <w:t>Filterable firm-wide ledger with search capabilities and historical record tracking.</w:t>
      </w:r>
    </w:p>
    <w:p>
      <w:pPr>
        <w:pStyle w:val="ListBullet"/>
        <w:spacing w:after="60"/>
      </w:pPr>
      <w:r>
        <w:rPr>
          <w:b/>
          <w:color w:val="1E293B"/>
          <w:sz w:val="19"/>
        </w:rPr>
        <w:t xml:space="preserve">Production Server Deployment &amp; Setup: </w:t>
      </w:r>
      <w:r>
        <w:rPr>
          <w:color w:val="1E293B"/>
          <w:sz w:val="19"/>
        </w:rPr>
        <w:t>Complete production deployment, database schema setup, and SSL security configuration on firm infrastructure.</w:t>
      </w:r>
    </w:p>
    <w:p>
      <w:pPr>
        <w:pStyle w:val="ListBullet"/>
        <w:spacing w:after="60"/>
      </w:pPr>
      <w:r>
        <w:rPr>
          <w:b/>
          <w:color w:val="1E293B"/>
          <w:sz w:val="19"/>
        </w:rPr>
        <w:t xml:space="preserve">Warranty &amp; Technical Support: </w:t>
      </w:r>
      <w:r>
        <w:rPr>
          <w:color w:val="1E293B"/>
          <w:sz w:val="19"/>
        </w:rPr>
        <w:t>60 Days standard bug-fix warranty and system maintenance.</w:t>
      </w:r>
    </w:p>
    <w:p>
      <w:pPr>
        <w:spacing w:after="80"/>
      </w:pPr>
    </w:p>
    <w:p>
      <w:r>
        <w:rPr>
          <w:b/>
          <w:color w:val="0284C7"/>
          <w:sz w:val="23"/>
        </w:rPr>
        <w:t>🥇 Tier 2: Enterprise Suite — ₱85,000 ⭐ (Recommended Flagship Package)</w:t>
      </w:r>
    </w:p>
    <w:p>
      <w:pPr>
        <w:pStyle w:val="ListBullet"/>
        <w:spacing w:after="60"/>
      </w:pPr>
      <w:r>
        <w:rPr>
          <w:b/>
          <w:color w:val="0F2744"/>
          <w:sz w:val="19"/>
        </w:rPr>
        <w:t>Everything in Tier 1 (₱75,000) PLUS the following high-ticket enterprise modules:</w:t>
      </w:r>
    </w:p>
    <w:p>
      <w:pPr>
        <w:pStyle w:val="ListBullet"/>
        <w:spacing w:after="60"/>
      </w:pPr>
      <w:r>
        <w:rPr>
          <w:b/>
          <w:color w:val="0F2744"/>
          <w:sz w:val="19"/>
        </w:rPr>
        <w:t xml:space="preserve">Automated Formatted Payroll CSV Export Engine: </w:t>
      </w:r>
      <w:r>
        <w:rPr>
          <w:color w:val="1E293B"/>
          <w:sz w:val="19"/>
        </w:rPr>
        <w:t>One-click export formatted specifically for Philippine payroll processing (JuanTax, Sprout Solutions, QuickBooks, or custom Excel formats), automatically computing unpaid leave deductions.</w:t>
      </w:r>
    </w:p>
    <w:p>
      <w:pPr>
        <w:pStyle w:val="ListBullet"/>
        <w:spacing w:after="60"/>
      </w:pPr>
      <w:r>
        <w:rPr>
          <w:b/>
          <w:color w:val="0F2744"/>
          <w:sz w:val="19"/>
        </w:rPr>
        <w:t xml:space="preserve">Year-End Unused Leave Cash Conversion Ledger: </w:t>
      </w:r>
      <w:r>
        <w:rPr>
          <w:color w:val="1E293B"/>
          <w:sz w:val="19"/>
        </w:rPr>
        <w:t>Real-time automated computation multiplying unconsumed leave credits by employee daily wage rates, providing Managing Partners with an instant calculation of annual cash liabilities.</w:t>
      </w:r>
    </w:p>
    <w:p>
      <w:pPr>
        <w:pStyle w:val="ListBullet"/>
        <w:spacing w:after="60"/>
      </w:pPr>
      <w:r>
        <w:rPr>
          <w:b/>
          <w:color w:val="0F2744"/>
          <w:sz w:val="19"/>
        </w:rPr>
        <w:t xml:space="preserve">Interactive Multi-Department Absence Calendar: </w:t>
      </w:r>
      <w:r>
        <w:rPr>
          <w:color w:val="1E293B"/>
          <w:sz w:val="19"/>
        </w:rPr>
        <w:t>Visual monthly schedule showing team availability and planned absences to prevent engagement understaffing during client audits.</w:t>
      </w:r>
    </w:p>
    <w:p>
      <w:pPr>
        <w:pStyle w:val="ListBullet"/>
        <w:spacing w:after="60"/>
      </w:pPr>
      <w:r>
        <w:rPr>
          <w:b/>
          <w:color w:val="0F2744"/>
          <w:sz w:val="19"/>
        </w:rPr>
        <w:t xml:space="preserve">Medical Certificate &amp; Document Proof Engine: </w:t>
      </w:r>
      <w:r>
        <w:rPr>
          <w:color w:val="1E293B"/>
          <w:sz w:val="19"/>
        </w:rPr>
        <w:t>Staff can attach physician notes, CPD seminar slips, and death certificates with 1-click in-app viewing.</w:t>
      </w:r>
    </w:p>
    <w:p>
      <w:pPr>
        <w:pStyle w:val="ListBullet"/>
        <w:spacing w:after="60"/>
      </w:pPr>
      <w:r>
        <w:rPr>
          <w:b/>
          <w:color w:val="0F2744"/>
          <w:sz w:val="19"/>
        </w:rPr>
        <w:t xml:space="preserve">Immutable Enterprise Audit Trail: </w:t>
      </w:r>
      <w:r>
        <w:rPr>
          <w:color w:val="1E293B"/>
          <w:sz w:val="19"/>
        </w:rPr>
        <w:t>Tamper-proof audit logs recording every leave submission, approval, rejection, and balance adjustment with exact timestamps, user names, and client IP addresses.</w:t>
      </w:r>
    </w:p>
    <w:p>
      <w:pPr>
        <w:pStyle w:val="ListBullet"/>
        <w:spacing w:after="60"/>
      </w:pPr>
      <w:r>
        <w:rPr>
          <w:b/>
          <w:color w:val="0F2744"/>
          <w:sz w:val="19"/>
        </w:rPr>
        <w:t xml:space="preserve">Automated Real-Time Email Notifications: </w:t>
      </w:r>
      <w:r>
        <w:rPr>
          <w:color w:val="1E293B"/>
          <w:sz w:val="19"/>
        </w:rPr>
        <w:t>Instant transactional email alerts sent to staff and partners whenever leave applications are filed, approved, or rejected.</w:t>
      </w:r>
    </w:p>
    <w:p>
      <w:pPr>
        <w:pStyle w:val="ListBullet"/>
        <w:spacing w:after="60"/>
      </w:pPr>
      <w:r>
        <w:rPr>
          <w:b/>
          <w:color w:val="0F2744"/>
          <w:sz w:val="19"/>
        </w:rPr>
        <w:t xml:space="preserve">Automated Holiday &amp; Working Days Exclusion Engine: </w:t>
      </w:r>
      <w:r>
        <w:rPr>
          <w:color w:val="1E293B"/>
          <w:sz w:val="19"/>
        </w:rPr>
        <w:t>Automatically detects and excludes weekends and official statutory regular/special non-working holidays from leave deductions.</w:t>
      </w:r>
    </w:p>
    <w:p>
      <w:pPr>
        <w:pStyle w:val="ListBullet"/>
        <w:spacing w:after="60"/>
      </w:pPr>
      <w:r>
        <w:rPr>
          <w:b/>
          <w:color w:val="0F2744"/>
          <w:sz w:val="19"/>
        </w:rPr>
        <w:t xml:space="preserve">Peak Tax Season Advisory Engine: </w:t>
      </w:r>
      <w:r>
        <w:rPr>
          <w:color w:val="1E293B"/>
          <w:sz w:val="19"/>
        </w:rPr>
        <w:t>Visual blackout warning banner and partner clearance enforcement for leaves during the annual income tax return filing period (March 15 – April 15).</w:t>
      </w:r>
    </w:p>
    <w:p>
      <w:pPr>
        <w:pStyle w:val="ListBullet"/>
        <w:spacing w:after="60"/>
      </w:pPr>
      <w:r>
        <w:rPr>
          <w:b/>
          <w:color w:val="0F2744"/>
          <w:sz w:val="19"/>
        </w:rPr>
        <w:t xml:space="preserve">Administrative Accrual Engine: </w:t>
      </w:r>
      <w:r>
        <w:rPr>
          <w:color w:val="1E293B"/>
          <w:sz w:val="19"/>
        </w:rPr>
        <w:t>Automated monthly accrual rules (+1.25d VL monthly) and annual rollover configuration.</w:t>
      </w:r>
    </w:p>
    <w:p>
      <w:pPr>
        <w:pStyle w:val="ListBullet"/>
        <w:spacing w:after="60"/>
      </w:pPr>
      <w:r>
        <w:rPr>
          <w:b/>
          <w:color w:val="0F2744"/>
          <w:sz w:val="19"/>
        </w:rPr>
        <w:t xml:space="preserve">Extended Statutory Category Pack: </w:t>
      </w:r>
      <w:r>
        <w:rPr>
          <w:color w:val="1E293B"/>
          <w:sz w:val="19"/>
        </w:rPr>
        <w:t>Full configuration of Solo Parent Leave, Maternity Leave, Paternity Leave, Special Women Leave, VAWC Leave, and CPA Board Exam/CPD Study Leave.</w:t>
      </w:r>
    </w:p>
    <w:p>
      <w:pPr>
        <w:pStyle w:val="ListBullet"/>
        <w:spacing w:after="60"/>
      </w:pPr>
      <w:r>
        <w:rPr>
          <w:b/>
          <w:color w:val="0F2744"/>
          <w:sz w:val="19"/>
        </w:rPr>
        <w:t xml:space="preserve">Priority SLA Warranty &amp; Staff Training: </w:t>
      </w:r>
      <w:r>
        <w:rPr>
          <w:color w:val="1E293B"/>
          <w:sz w:val="19"/>
        </w:rPr>
        <w:t>3 Months Priority SLA Support, video tutorials, and a live executive onboarding session for all practice staff.</w:t>
      </w:r>
    </w:p>
    <w:p>
      <w:pPr>
        <w:spacing w:after="240"/>
      </w:pPr>
    </w:p>
    <w:p>
      <w:r>
        <w:rPr>
          <w:b/>
          <w:color w:val="0F2744"/>
          <w:sz w:val="28"/>
        </w:rPr>
        <w:t>4. Investment &amp; Implementation Roadmap</w:t>
      </w:r>
    </w:p>
    <w:p>
      <w:pPr>
        <w:spacing w:line="276" w:lineRule="auto"/>
      </w:pPr>
      <w:r>
        <w:rPr>
          <w:color w:val="1E293B"/>
          <w:sz w:val="19"/>
        </w:rPr>
        <w:t>By upgrading to the ₱85,000 Enterprise Suite (a modest ₱10,000 incremental difference from Tier 1), JTYeo CPA Accounting Office eliminates over 120+ hours of manual payroll reconciliation and year-end SIL liability auditing annually, while establishing rock-solid compliance documentation for DOLE and BIR labor reviews.</w:t>
      </w:r>
    </w:p>
    <w:tbl>
      <w:tblPr>
        <w:tblW w:type="auto" w:w="0"/>
        <w:jc w:val="center"/>
        <w:tblLook w:firstColumn="1" w:firstRow="1" w:lastColumn="0" w:lastRow="0" w:noHBand="0" w:noVBand="1" w:val="04A0"/>
      </w:tblPr>
      <w:tblGrid>
        <w:gridCol w:w="4968"/>
        <w:gridCol w:w="4968"/>
      </w:tblGrid>
      <w:tr>
        <w:tc>
          <w:tcPr>
            <w:tcW w:type="dxa" w:w="4968"/>
            <w:shd w:fill="F8FAFC"/>
            <w:tcMar>
              <w:top w:w="70" w:type="dxa"/>
              <w:bottom w:w="70" w:type="dxa"/>
              <w:left w:w="100" w:type="dxa"/>
              <w:right w:w="100" w:type="dxa"/>
            </w:tcMar>
          </w:tcPr>
          <w:p>
            <w:pPr>
              <w:spacing w:after="0"/>
            </w:pPr>
            <w:r>
              <w:rPr>
                <w:b/>
                <w:color w:val="0F2744"/>
                <w:sz w:val="18"/>
              </w:rPr>
              <w:t>Payment Milestone 1 (Mobilization):</w:t>
            </w:r>
            <w:r>
              <w:rPr>
                <w:color w:val="1E293B"/>
                <w:sz w:val="18"/>
              </w:rPr>
              <w:t xml:space="preserve"> 50% upon contract signing and project kickoff</w:t>
            </w:r>
          </w:p>
        </w:tc>
        <w:tc>
          <w:tcPr>
            <w:tcW w:type="dxa" w:w="4968"/>
            <w:shd w:fill="F8FAFC"/>
            <w:tcMar>
              <w:top w:w="70" w:type="dxa"/>
              <w:bottom w:w="70" w:type="dxa"/>
              <w:left w:w="100" w:type="dxa"/>
              <w:right w:w="100" w:type="dxa"/>
            </w:tcMar>
          </w:tcPr>
          <w:p>
            <w:pPr>
              <w:spacing w:after="0"/>
            </w:pPr>
            <w:r>
              <w:rPr>
                <w:b/>
                <w:color w:val="0F2744"/>
                <w:sz w:val="18"/>
              </w:rPr>
              <w:t>Implementation Timeline:</w:t>
            </w:r>
            <w:r>
              <w:rPr>
                <w:color w:val="1E293B"/>
                <w:sz w:val="18"/>
              </w:rPr>
              <w:t xml:space="preserve"> 3 to 4 Weeks from kickoff to deployment</w:t>
            </w:r>
          </w:p>
        </w:tc>
      </w:tr>
      <w:tr>
        <w:tc>
          <w:tcPr>
            <w:tcW w:type="dxa" w:w="4968"/>
            <w:shd w:fill="F8FAFC"/>
            <w:tcMar>
              <w:top w:w="70" w:type="dxa"/>
              <w:bottom w:w="70" w:type="dxa"/>
              <w:left w:w="100" w:type="dxa"/>
              <w:right w:w="100" w:type="dxa"/>
            </w:tcMar>
          </w:tcPr>
          <w:p>
            <w:pPr>
              <w:spacing w:after="0"/>
            </w:pPr>
            <w:r>
              <w:rPr>
                <w:b/>
                <w:color w:val="0F2744"/>
                <w:sz w:val="18"/>
              </w:rPr>
              <w:t>Payment Milestone 2 (Delivery):</w:t>
            </w:r>
            <w:r>
              <w:rPr>
                <w:color w:val="1E293B"/>
                <w:sz w:val="18"/>
              </w:rPr>
              <w:t xml:space="preserve"> 30% upon system staging deployment &amp; demonstration</w:t>
            </w:r>
          </w:p>
        </w:tc>
        <w:tc>
          <w:tcPr>
            <w:tcW w:type="dxa" w:w="4968"/>
            <w:shd w:fill="F8FAFC"/>
            <w:tcMar>
              <w:top w:w="70" w:type="dxa"/>
              <w:bottom w:w="70" w:type="dxa"/>
              <w:left w:w="100" w:type="dxa"/>
              <w:right w:w="100" w:type="dxa"/>
            </w:tcMar>
          </w:tcPr>
          <w:p>
            <w:pPr>
              <w:spacing w:after="0"/>
            </w:pPr>
            <w:r>
              <w:rPr>
                <w:b/>
                <w:color w:val="0F2744"/>
                <w:sz w:val="18"/>
              </w:rPr>
              <w:t>Live Demonstration System:</w:t>
            </w:r>
            <w:r>
              <w:rPr>
                <w:color w:val="1E293B"/>
                <w:sz w:val="18"/>
              </w:rPr>
              <w:t xml:space="preserve"> 100% Functional &amp; Verified Prototype Ready</w:t>
            </w:r>
          </w:p>
        </w:tc>
      </w:tr>
      <w:tr>
        <w:tc>
          <w:tcPr>
            <w:tcW w:type="dxa" w:w="4968"/>
            <w:shd w:fill="F8FAFC"/>
            <w:tcMar>
              <w:top w:w="70" w:type="dxa"/>
              <w:bottom w:w="70" w:type="dxa"/>
              <w:left w:w="100" w:type="dxa"/>
              <w:right w:w="100" w:type="dxa"/>
            </w:tcMar>
          </w:tcPr>
          <w:p>
            <w:pPr>
              <w:spacing w:after="0"/>
            </w:pPr>
            <w:r>
              <w:rPr>
                <w:b/>
                <w:color w:val="0F2744"/>
                <w:sz w:val="18"/>
              </w:rPr>
              <w:t>Payment Milestone 3 (Sign-Off):</w:t>
            </w:r>
            <w:r>
              <w:rPr>
                <w:color w:val="1E293B"/>
                <w:sz w:val="18"/>
              </w:rPr>
              <w:t xml:space="preserve"> 20% upon final acceptance &amp; staff training session</w:t>
            </w:r>
          </w:p>
        </w:tc>
        <w:tc>
          <w:tcPr>
            <w:tcW w:type="dxa" w:w="4968"/>
            <w:shd w:fill="F8FAFC"/>
            <w:tcMar>
              <w:top w:w="70" w:type="dxa"/>
              <w:bottom w:w="70" w:type="dxa"/>
              <w:left w:w="100" w:type="dxa"/>
              <w:right w:w="100" w:type="dxa"/>
            </w:tcMar>
          </w:tcPr>
          <w:p>
            <w:pPr>
              <w:spacing w:after="0"/>
            </w:pPr>
            <w:r>
              <w:rPr>
                <w:b/>
                <w:color w:val="0F2744"/>
                <w:sz w:val="18"/>
              </w:rPr>
              <w:t>Client Support Guarantee:</w:t>
            </w:r>
            <w:r>
              <w:rPr>
                <w:color w:val="1E293B"/>
                <w:sz w:val="18"/>
              </w:rPr>
              <w:t xml:space="preserve"> Dedicated Priority Technical Support Included</w:t>
            </w:r>
          </w:p>
        </w:tc>
      </w:tr>
    </w:tbl>
    <w:p>
      <w:pPr>
        <w:spacing w:after="360"/>
      </w:pPr>
    </w:p>
    <w:p>
      <w:r>
        <w:rPr>
          <w:b/>
          <w:color w:val="0F2744"/>
          <w:sz w:val="28"/>
        </w:rPr>
        <w:t>5. Proposal Acceptance &amp; Authorization</w:t>
      </w:r>
    </w:p>
    <w:tbl>
      <w:tblPr>
        <w:tblW w:type="auto" w:w="0"/>
        <w:jc w:val="center"/>
        <w:tblLook w:firstColumn="1" w:firstRow="1" w:lastColumn="0" w:lastRow="0" w:noHBand="0" w:noVBand="1" w:val="04A0"/>
      </w:tblPr>
      <w:tblGrid>
        <w:gridCol w:w="4968"/>
        <w:gridCol w:w="4968"/>
      </w:tblGrid>
      <w:tr>
        <w:tc>
          <w:tcPr>
            <w:tcW w:type="dxa" w:w="4968"/>
            <w:tcMar>
              <w:top w:w="80" w:type="dxa"/>
              <w:bottom w:w="80" w:type="dxa"/>
              <w:left w:w="100" w:type="dxa"/>
              <w:right w:w="100" w:type="dxa"/>
            </w:tcMar>
          </w:tcPr>
          <w:p>
            <w:r>
              <w:rPr>
                <w:sz w:val="19"/>
              </w:rPr>
              <w:t>Prepared &amp; Submitted By:</w:t>
              <w:br/>
              <w:br/>
              <w:br/>
              <w:t>_____________________________________</w:t>
              <w:br/>
            </w:r>
            <w:r>
              <w:rPr>
                <w:b/>
                <w:sz w:val="19"/>
              </w:rPr>
              <w:t>Executive Software Solutions Team</w:t>
              <w:br/>
            </w:r>
            <w:r>
              <w:rPr>
                <w:sz w:val="18"/>
              </w:rPr>
              <w:t>Technical Implementation Lead</w:t>
            </w:r>
          </w:p>
        </w:tc>
        <w:tc>
          <w:tcPr>
            <w:tcW w:type="dxa" w:w="4968"/>
            <w:tcMar>
              <w:top w:w="80" w:type="dxa"/>
              <w:bottom w:w="80" w:type="dxa"/>
              <w:left w:w="100" w:type="dxa"/>
              <w:right w:w="100" w:type="dxa"/>
            </w:tcMar>
          </w:tcPr>
          <w:p>
            <w:r>
              <w:rPr>
                <w:sz w:val="19"/>
              </w:rPr>
              <w:t>Accepted &amp; Approved By:</w:t>
              <w:br/>
              <w:br/>
              <w:br/>
              <w:t>_____________________________________</w:t>
              <w:br/>
            </w:r>
            <w:r>
              <w:rPr>
                <w:b/>
                <w:sz w:val="19"/>
              </w:rPr>
              <w:t>Atty. Jonathan Yeo, CPA</w:t>
              <w:br/>
            </w:r>
            <w:r>
              <w:rPr>
                <w:sz w:val="18"/>
              </w:rPr>
              <w:t>Managing Partner &amp; HR Head, JTYeo CPA Accounting Office</w:t>
            </w:r>
          </w:p>
        </w:tc>
      </w:tr>
      <w:tr>
        <w:tc>
          <w:tcPr>
            <w:tcW w:type="dxa" w:w="4968"/>
          </w:tcPr>
          <w:p/>
        </w:tc>
        <w:tc>
          <w:tcPr>
            <w:tcW w:type="dxa" w:w="4968"/>
          </w:tcP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