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64748B"/>
          <w:sz w:val="17"/>
        </w:rPr>
        <w:t>CONFIDENTIAL • CLIENT PROPOSAL</w:t>
      </w:r>
    </w:p>
    <w:p>
      <w:pPr>
        <w:spacing w:after="40"/>
      </w:pPr>
      <w:r>
        <w:rPr>
          <w:b/>
          <w:color w:val="0F2744"/>
          <w:sz w:val="48"/>
        </w:rPr>
        <w:t>JTYeo CPA Accounting Office</w:t>
      </w:r>
    </w:p>
    <w:p>
      <w:pPr>
        <w:spacing w:after="320"/>
      </w:pPr>
      <w:r>
        <w:rPr>
          <w:b/>
          <w:color w:val="0284C7"/>
          <w:sz w:val="24"/>
        </w:rPr>
        <w:t>DOLE-Compliant Leave Management System (LMS) • Project Implementation Proposal</w:t>
      </w:r>
    </w:p>
    <w:tbl>
      <w:tblPr>
        <w:tblW w:type="auto" w:w="0"/>
        <w:jc w:val="center"/>
        <w:tblLook w:firstColumn="1" w:firstRow="1" w:lastColumn="0" w:lastRow="0" w:noHBand="0" w:noVBand="1" w:val="04A0"/>
      </w:tblPr>
      <w:tblGrid>
        <w:gridCol w:w="4968"/>
        <w:gridCol w:w="4968"/>
      </w:tblGrid>
      <w:tr>
        <w:tc>
          <w:tcPr>
            <w:tcW w:type="dxa" w:w="4968"/>
            <w:shd w:fill="F8FAFC"/>
            <w:tcMar>
              <w:top w:w="80" w:type="dxa"/>
              <w:bottom w:w="80" w:type="dxa"/>
              <w:left w:w="120" w:type="dxa"/>
              <w:right w:w="120" w:type="dxa"/>
            </w:tcMar>
          </w:tcPr>
          <w:p>
            <w:pPr>
              <w:spacing w:after="0"/>
            </w:pPr>
            <w:r>
              <w:rPr>
                <w:b/>
                <w:color w:val="0F2744"/>
                <w:sz w:val="19"/>
              </w:rPr>
              <w:t>Client Name:</w:t>
            </w:r>
            <w:r>
              <w:rPr>
                <w:color w:val="1E293B"/>
                <w:sz w:val="19"/>
              </w:rPr>
              <w:t xml:space="preserve"> Atty. Jonathan Yeo, CPA &amp; Management Committee</w:t>
            </w:r>
          </w:p>
        </w:tc>
        <w:tc>
          <w:tcPr>
            <w:tcW w:type="dxa" w:w="4968"/>
            <w:shd w:fill="F8FAFC"/>
            <w:tcMar>
              <w:top w:w="80" w:type="dxa"/>
              <w:bottom w:w="80" w:type="dxa"/>
              <w:left w:w="120" w:type="dxa"/>
              <w:right w:w="120" w:type="dxa"/>
            </w:tcMar>
          </w:tcPr>
          <w:p>
            <w:pPr>
              <w:spacing w:after="0"/>
            </w:pPr>
            <w:r>
              <w:rPr>
                <w:b/>
                <w:color w:val="0F2744"/>
                <w:sz w:val="19"/>
              </w:rPr>
              <w:t>Date of Proposal:</w:t>
            </w:r>
            <w:r>
              <w:rPr>
                <w:color w:val="1E293B"/>
                <w:sz w:val="19"/>
              </w:rPr>
              <w:t xml:space="preserve"> February 2026</w:t>
            </w:r>
          </w:p>
        </w:tc>
      </w:tr>
      <w:tr>
        <w:tc>
          <w:tcPr>
            <w:tcW w:type="dxa" w:w="4968"/>
            <w:shd w:fill="F8FAFC"/>
            <w:tcMar>
              <w:top w:w="80" w:type="dxa"/>
              <w:bottom w:w="80" w:type="dxa"/>
              <w:left w:w="120" w:type="dxa"/>
              <w:right w:w="120" w:type="dxa"/>
            </w:tcMar>
          </w:tcPr>
          <w:p>
            <w:pPr>
              <w:spacing w:after="0"/>
            </w:pPr>
            <w:r>
              <w:rPr>
                <w:b/>
                <w:color w:val="0F2744"/>
                <w:sz w:val="19"/>
              </w:rPr>
              <w:t>Practice Name:</w:t>
            </w:r>
            <w:r>
              <w:rPr>
                <w:color w:val="1E293B"/>
                <w:sz w:val="19"/>
              </w:rPr>
              <w:t xml:space="preserve"> JTYeo CPA Accounting Office</w:t>
            </w:r>
          </w:p>
        </w:tc>
        <w:tc>
          <w:tcPr>
            <w:tcW w:type="dxa" w:w="4968"/>
            <w:shd w:fill="F8FAFC"/>
            <w:tcMar>
              <w:top w:w="80" w:type="dxa"/>
              <w:bottom w:w="80" w:type="dxa"/>
              <w:left w:w="120" w:type="dxa"/>
              <w:right w:w="120" w:type="dxa"/>
            </w:tcMar>
          </w:tcPr>
          <w:p>
            <w:pPr>
              <w:spacing w:after="0"/>
            </w:pPr>
            <w:r>
              <w:rPr>
                <w:b/>
                <w:color w:val="0F2744"/>
                <w:sz w:val="19"/>
              </w:rPr>
              <w:t>Target Deployment:</w:t>
            </w:r>
            <w:r>
              <w:rPr>
                <w:color w:val="1E293B"/>
                <w:sz w:val="19"/>
              </w:rPr>
              <w:t xml:space="preserve"> Turnkey 3-4 Weeks (Ready for Q2 2026)</w:t>
            </w:r>
          </w:p>
        </w:tc>
      </w:tr>
    </w:tbl>
    <w:p>
      <w:pPr>
        <w:spacing w:after="200"/>
      </w:pPr>
    </w:p>
    <w:p>
      <w:r>
        <w:rPr>
          <w:b/>
          <w:color w:val="0F2744"/>
          <w:sz w:val="28"/>
        </w:rPr>
        <w:t>1. Executive Summary &amp; Value Proposition</w:t>
      </w:r>
    </w:p>
    <w:p>
      <w:pPr>
        <w:spacing w:after="200" w:line="276" w:lineRule="auto"/>
      </w:pPr>
      <w:r>
        <w:rPr>
          <w:color w:val="1E293B"/>
          <w:sz w:val="20"/>
        </w:rPr>
        <w:t>For an established accounting and auditing practice, workforce scheduling, statutory leave compliance, and billable hour preservation during peak tax and audit deadlines are paramount. Manual tracking via paper forms or spreadsheets leads to unverified absences, lost billable hours, engagement coverage blindspots, and unexpected year-end cash liabilities under standard Service Incentive Leave (SIL) rules.</w:t>
        <w:br/>
        <w:br/>
        <w:t>This proposal presents two clear, tailored implementation packages for JTYeo CPA Accounting Office:</w:t>
      </w:r>
    </w:p>
    <w:p>
      <w:pPr>
        <w:pStyle w:val="ListBullet"/>
      </w:pPr>
      <w:r>
        <w:rPr>
          <w:b/>
          <w:color w:val="0F2744"/>
        </w:rPr>
        <w:t xml:space="preserve">Tier 1: Professional Edition (₱75,000) — </w:t>
      </w:r>
      <w:r>
        <w:t>Complete 5-category leave management, employee self-service balances, partner approval queue &amp; on-behalf filing, and clean leave details modal.</w:t>
      </w:r>
    </w:p>
    <w:p>
      <w:pPr>
        <w:pStyle w:val="ListBullet"/>
      </w:pPr>
      <w:r>
        <w:rPr>
          <w:b/>
          <w:color w:val="0284C7"/>
        </w:rPr>
        <w:t xml:space="preserve">Tier 2: Enterprise Suite (₱85,000) ⭐ Recommended Flagship — </w:t>
      </w:r>
      <w:r>
        <w:t>Everything in Tier 1 PLUS automated one-click payroll CSV export (JuanTax/Sprout/QuickBooks), Year-End Unused Leave Cash Conversion Ledger, Interactive Team Calendar, Medical Certificate Proof Viewer, immutable enterprise audit trails, automated email alerts, and 3 months priority SLA warranty.</w:t>
      </w:r>
    </w:p>
    <w:p>
      <w:pPr>
        <w:spacing w:after="200"/>
      </w:pPr>
    </w:p>
    <w:p>
      <w:r>
        <w:rPr>
          <w:b/>
          <w:color w:val="0F2744"/>
          <w:sz w:val="28"/>
        </w:rPr>
        <w:t>2. Strategic Package Comparison Matrix</w:t>
      </w:r>
    </w:p>
    <w:tbl>
      <w:tblPr>
        <w:tblW w:type="auto" w:w="0"/>
        <w:jc w:val="center"/>
        <w:tblLook w:firstColumn="1" w:firstRow="1" w:lastColumn="0" w:lastRow="0" w:noHBand="0" w:noVBand="1" w:val="04A0"/>
      </w:tblPr>
      <w:tblGrid>
        <w:gridCol w:w="3312"/>
        <w:gridCol w:w="3312"/>
        <w:gridCol w:w="3312"/>
      </w:tblGrid>
      <w:tr>
        <w:tc>
          <w:tcPr>
            <w:tcW w:type="dxa" w:w="4896"/>
            <w:vAlign w:val="center"/>
            <w:tcMar>
              <w:top w:w="90" w:type="dxa"/>
              <w:bottom w:w="90" w:type="dxa"/>
              <w:left w:w="110" w:type="dxa"/>
              <w:right w:w="110" w:type="dxa"/>
            </w:tcMar>
            <w:shd w:fill="0F2744"/>
          </w:tcPr>
          <w:p>
            <w:pPr>
              <w:spacing w:after="0"/>
            </w:pPr>
            <w:r>
              <w:rPr>
                <w:b/>
                <w:color w:val="FFFFFF"/>
                <w:sz w:val="19"/>
              </w:rPr>
              <w:t>Feature &amp; Capability</w:t>
            </w:r>
          </w:p>
        </w:tc>
        <w:tc>
          <w:tcPr>
            <w:tcW w:type="dxa" w:w="2592"/>
            <w:vAlign w:val="center"/>
            <w:tcMar>
              <w:top w:w="90" w:type="dxa"/>
              <w:bottom w:w="90" w:type="dxa"/>
              <w:left w:w="110" w:type="dxa"/>
              <w:right w:w="110" w:type="dxa"/>
            </w:tcMar>
            <w:shd w:fill="0F2744"/>
          </w:tcPr>
          <w:p>
            <w:pPr>
              <w:spacing w:after="0"/>
              <w:jc w:val="center"/>
            </w:pPr>
            <w:r>
              <w:rPr>
                <w:b/>
                <w:color w:val="FFFFFF"/>
                <w:sz w:val="19"/>
              </w:rPr>
              <w:t>Tier 1: Professional Edition</w:t>
              <w:br/>
              <w:t>(₱75,000)</w:t>
            </w:r>
          </w:p>
        </w:tc>
        <w:tc>
          <w:tcPr>
            <w:tcW w:type="dxa" w:w="2880"/>
            <w:vAlign w:val="center"/>
            <w:tcMar>
              <w:top w:w="90" w:type="dxa"/>
              <w:bottom w:w="90" w:type="dxa"/>
              <w:left w:w="110" w:type="dxa"/>
              <w:right w:w="110" w:type="dxa"/>
            </w:tcMar>
            <w:shd w:fill="0F2744"/>
          </w:tcPr>
          <w:p>
            <w:pPr>
              <w:spacing w:after="0"/>
              <w:jc w:val="center"/>
            </w:pPr>
            <w:r>
              <w:rPr>
                <w:b/>
                <w:color w:val="FFFFFF"/>
                <w:sz w:val="19"/>
              </w:rPr>
              <w:t>Tier 2: Enterprise Suite</w:t>
              <w:br/>
              <w:t>(₱85,000) 🏆</w:t>
            </w:r>
          </w:p>
        </w:tc>
      </w:tr>
      <w:tr>
        <w:tc>
          <w:tcPr>
            <w:tcW w:type="dxa" w:w="4896"/>
            <w:vAlign w:val="center"/>
            <w:tcMar>
              <w:top w:w="90" w:type="dxa"/>
              <w:bottom w:w="90" w:type="dxa"/>
              <w:left w:w="110" w:type="dxa"/>
              <w:right w:w="110" w:type="dxa"/>
            </w:tcMar>
            <w:shd w:fill="FFFFFF"/>
          </w:tcPr>
          <w:p>
            <w:pPr>
              <w:spacing w:after="0"/>
            </w:pPr>
            <w:r>
              <w:rPr>
                <w:color w:val="1E293B"/>
                <w:sz w:val="17"/>
              </w:rPr>
              <w:t>5 Core Essential Leave Categories (VL, SL, Emergency, Bereavement, LWOP)</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Employee Self-Service Portal &amp; Real-Time Balance Ledgers</w:t>
            </w:r>
          </w:p>
        </w:tc>
        <w:tc>
          <w:tcPr>
            <w:tcW w:type="dxa" w:w="2592"/>
            <w:vAlign w:val="center"/>
            <w:tcMar>
              <w:top w:w="90" w:type="dxa"/>
              <w:bottom w:w="90" w:type="dxa"/>
              <w:left w:w="110" w:type="dxa"/>
              <w:right w:w="110" w:type="dxa"/>
            </w:tcMar>
            <w:shd w:fill="F8FAFC"/>
          </w:tcPr>
          <w:p>
            <w:pPr>
              <w:spacing w:after="0"/>
              <w:jc w:val="center"/>
            </w:pPr>
            <w:r>
              <w:rPr>
                <w:b/>
                <w:color w:val="0F2744"/>
                <w:sz w:val="17"/>
              </w:rPr>
              <w:t>Included</w:t>
            </w:r>
          </w:p>
        </w:tc>
        <w:tc>
          <w:tcPr>
            <w:tcW w:type="dxa" w:w="2880"/>
            <w:vAlign w:val="center"/>
            <w:tcMar>
              <w:top w:w="90" w:type="dxa"/>
              <w:bottom w:w="90" w:type="dxa"/>
              <w:left w:w="110" w:type="dxa"/>
              <w:right w:w="110" w:type="dxa"/>
            </w:tcMar>
            <w:shd w:fill="F8FAFC"/>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Managing Partner Approval &amp; Decision Review Queue</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Managing Partner Filing On Behalf of Any Employee</w:t>
            </w:r>
          </w:p>
        </w:tc>
        <w:tc>
          <w:tcPr>
            <w:tcW w:type="dxa" w:w="2592"/>
            <w:vAlign w:val="center"/>
            <w:tcMar>
              <w:top w:w="90" w:type="dxa"/>
              <w:bottom w:w="90" w:type="dxa"/>
              <w:left w:w="110" w:type="dxa"/>
              <w:right w:w="110" w:type="dxa"/>
            </w:tcMar>
            <w:shd w:fill="F8FAFC"/>
          </w:tcPr>
          <w:p>
            <w:pPr>
              <w:spacing w:after="0"/>
              <w:jc w:val="center"/>
            </w:pPr>
            <w:r>
              <w:rPr>
                <w:b/>
                <w:color w:val="0F2744"/>
                <w:sz w:val="17"/>
              </w:rPr>
              <w:t>Included</w:t>
            </w:r>
          </w:p>
        </w:tc>
        <w:tc>
          <w:tcPr>
            <w:tcW w:type="dxa" w:w="2880"/>
            <w:vAlign w:val="center"/>
            <w:tcMar>
              <w:top w:w="90" w:type="dxa"/>
              <w:bottom w:w="90" w:type="dxa"/>
              <w:left w:w="110" w:type="dxa"/>
              <w:right w:w="110" w:type="dxa"/>
            </w:tcMar>
            <w:shd w:fill="F8FAFC"/>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Clean Leave Application Details &amp; Partner Status Modal</w:t>
            </w:r>
          </w:p>
        </w:tc>
        <w:tc>
          <w:tcPr>
            <w:tcW w:type="dxa" w:w="2592"/>
            <w:vAlign w:val="center"/>
            <w:tcMar>
              <w:top w:w="90" w:type="dxa"/>
              <w:bottom w:w="90" w:type="dxa"/>
              <w:left w:w="110" w:type="dxa"/>
              <w:right w:w="110" w:type="dxa"/>
            </w:tcMar>
            <w:shd w:fill="FFFFFF"/>
          </w:tcPr>
          <w:p>
            <w:pPr>
              <w:spacing w:after="0"/>
              <w:jc w:val="center"/>
            </w:pPr>
            <w:r>
              <w:rPr>
                <w:b/>
                <w:color w:val="0F2744"/>
                <w:sz w:val="17"/>
              </w:rPr>
              <w:t>Included</w:t>
            </w:r>
          </w:p>
        </w:tc>
        <w:tc>
          <w:tcPr>
            <w:tcW w:type="dxa" w:w="2880"/>
            <w:vAlign w:val="center"/>
            <w:tcMar>
              <w:top w:w="90" w:type="dxa"/>
              <w:bottom w:w="90" w:type="dxa"/>
              <w:left w:w="110" w:type="dxa"/>
              <w:right w:w="110" w:type="dxa"/>
            </w:tcMar>
            <w:shd w:fill="FFFFFF"/>
          </w:tcPr>
          <w:p>
            <w:pPr>
              <w:spacing w:after="0"/>
              <w:jc w:val="center"/>
            </w:pPr>
            <w:r>
              <w:rPr>
                <w:b/>
                <w:color w:val="0F2744"/>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Automated Formatted Payroll CSV Export (JuanTax / Sprout / QuickBooks)</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(One-Click Sync)</w:t>
            </w:r>
          </w:p>
        </w:tc>
      </w:tr>
      <w:tr>
        <w:tc>
          <w:tcPr>
            <w:tcW w:type="dxa" w:w="4896"/>
            <w:vAlign w:val="center"/>
            <w:tcMar>
              <w:top w:w="90" w:type="dxa"/>
              <w:bottom w:w="90" w:type="dxa"/>
              <w:left w:w="110" w:type="dxa"/>
              <w:right w:w="110" w:type="dxa"/>
            </w:tcMar>
            <w:shd w:fill="FFFFFF"/>
          </w:tcPr>
          <w:p>
            <w:pPr>
              <w:spacing w:after="0"/>
            </w:pPr>
            <w:r>
              <w:rPr>
                <w:color w:val="1E293B"/>
                <w:sz w:val="17"/>
              </w:rPr>
              <w:t>Year-End Unused Leave Cash Conversion Ledger &amp; Reserve Calculator</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(Live Liability Forecast)</w:t>
            </w:r>
          </w:p>
        </w:tc>
      </w:tr>
      <w:tr>
        <w:tc>
          <w:tcPr>
            <w:tcW w:type="dxa" w:w="4896"/>
            <w:vAlign w:val="center"/>
            <w:tcMar>
              <w:top w:w="90" w:type="dxa"/>
              <w:bottom w:w="90" w:type="dxa"/>
              <w:left w:w="110" w:type="dxa"/>
              <w:right w:w="110" w:type="dxa"/>
            </w:tcMar>
            <w:shd w:fill="F8FAFC"/>
          </w:tcPr>
          <w:p>
            <w:pPr>
              <w:spacing w:after="0"/>
            </w:pPr>
            <w:r>
              <w:rPr>
                <w:color w:val="1E293B"/>
                <w:sz w:val="17"/>
              </w:rPr>
              <w:t>Interactive Multi-Department Absence Calendar &amp; Schedule Sync</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(Visual Schedule)</w:t>
            </w:r>
          </w:p>
        </w:tc>
      </w:tr>
      <w:tr>
        <w:tc>
          <w:tcPr>
            <w:tcW w:type="dxa" w:w="4896"/>
            <w:vAlign w:val="center"/>
            <w:tcMar>
              <w:top w:w="90" w:type="dxa"/>
              <w:bottom w:w="90" w:type="dxa"/>
              <w:left w:w="110" w:type="dxa"/>
              <w:right w:w="110" w:type="dxa"/>
            </w:tcMar>
            <w:shd w:fill="FFFFFF"/>
          </w:tcPr>
          <w:p>
            <w:pPr>
              <w:spacing w:after="0"/>
            </w:pPr>
            <w:r>
              <w:rPr>
                <w:color w:val="1E293B"/>
                <w:sz w:val="17"/>
              </w:rPr>
              <w:t>Medical Certificate &amp; Document Proof Upload &amp; In-App Viewer</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(Verification Engine)</w:t>
            </w:r>
          </w:p>
        </w:tc>
      </w:tr>
      <w:tr>
        <w:tc>
          <w:tcPr>
            <w:tcW w:type="dxa" w:w="4896"/>
            <w:vAlign w:val="center"/>
            <w:tcMar>
              <w:top w:w="90" w:type="dxa"/>
              <w:bottom w:w="90" w:type="dxa"/>
              <w:left w:w="110" w:type="dxa"/>
              <w:right w:w="110" w:type="dxa"/>
            </w:tcMar>
            <w:shd w:fill="F8FAFC"/>
          </w:tcPr>
          <w:p>
            <w:pPr>
              <w:spacing w:after="0"/>
            </w:pPr>
            <w:r>
              <w:rPr>
                <w:color w:val="1E293B"/>
                <w:sz w:val="17"/>
              </w:rPr>
              <w:t>Immutable Enterprise Audit Trail with Client IP Tracking</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(Tamper-Proof)</w:t>
            </w:r>
          </w:p>
        </w:tc>
      </w:tr>
      <w:tr>
        <w:tc>
          <w:tcPr>
            <w:tcW w:type="dxa" w:w="4896"/>
            <w:vAlign w:val="center"/>
            <w:tcMar>
              <w:top w:w="90" w:type="dxa"/>
              <w:bottom w:w="90" w:type="dxa"/>
              <w:left w:w="110" w:type="dxa"/>
              <w:right w:w="110" w:type="dxa"/>
            </w:tcMar>
            <w:shd w:fill="FFFFFF"/>
          </w:tcPr>
          <w:p>
            <w:pPr>
              <w:spacing w:after="0"/>
            </w:pPr>
            <w:r>
              <w:rPr>
                <w:color w:val="1E293B"/>
                <w:sz w:val="17"/>
              </w:rPr>
              <w:t>Automated Real-Time Email Notifications &amp; Manager Alerts</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w:t>
            </w:r>
          </w:p>
        </w:tc>
      </w:tr>
      <w:tr>
        <w:tc>
          <w:tcPr>
            <w:tcW w:type="dxa" w:w="4896"/>
            <w:vAlign w:val="center"/>
            <w:tcMar>
              <w:top w:w="90" w:type="dxa"/>
              <w:bottom w:w="90" w:type="dxa"/>
              <w:left w:w="110" w:type="dxa"/>
              <w:right w:w="110" w:type="dxa"/>
            </w:tcMar>
            <w:shd w:fill="F8FAFC"/>
          </w:tcPr>
          <w:p>
            <w:pPr>
              <w:spacing w:after="0"/>
            </w:pPr>
            <w:r>
              <w:rPr>
                <w:color w:val="1E293B"/>
                <w:sz w:val="17"/>
              </w:rPr>
              <w:t>Automated Holiday &amp; Working Days Exclusion Engine</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(Auto-Excludes Weekends &amp; Official Holidays)</w:t>
            </w:r>
          </w:p>
        </w:tc>
      </w:tr>
      <w:tr>
        <w:tc>
          <w:tcPr>
            <w:tcW w:type="dxa" w:w="4896"/>
            <w:vAlign w:val="center"/>
            <w:tcMar>
              <w:top w:w="90" w:type="dxa"/>
              <w:bottom w:w="90" w:type="dxa"/>
              <w:left w:w="110" w:type="dxa"/>
              <w:right w:w="110" w:type="dxa"/>
            </w:tcMar>
            <w:shd w:fill="FFFFFF"/>
          </w:tcPr>
          <w:p>
            <w:pPr>
              <w:spacing w:after="0"/>
            </w:pPr>
            <w:r>
              <w:rPr>
                <w:color w:val="1E293B"/>
                <w:sz w:val="17"/>
              </w:rPr>
              <w:t>Peak Tax Season (March 15 - April 15) Blackout Warnings</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(Client Engagement Protection)</w:t>
            </w:r>
          </w:p>
        </w:tc>
      </w:tr>
      <w:tr>
        <w:tc>
          <w:tcPr>
            <w:tcW w:type="dxa" w:w="4896"/>
            <w:vAlign w:val="center"/>
            <w:tcMar>
              <w:top w:w="90" w:type="dxa"/>
              <w:bottom w:w="90" w:type="dxa"/>
              <w:left w:w="110" w:type="dxa"/>
              <w:right w:w="110" w:type="dxa"/>
            </w:tcMar>
            <w:shd w:fill="F8FAFC"/>
          </w:tcPr>
          <w:p>
            <w:pPr>
              <w:spacing w:after="0"/>
            </w:pPr>
            <w:r>
              <w:rPr>
                <w:color w:val="1E293B"/>
                <w:sz w:val="17"/>
              </w:rPr>
              <w:t>Administrative Accrual Engine (+1.25d/mo &amp; Annual Rollover)</w:t>
            </w:r>
          </w:p>
        </w:tc>
        <w:tc>
          <w:tcPr>
            <w:tcW w:type="dxa" w:w="2592"/>
            <w:vAlign w:val="center"/>
            <w:tcMar>
              <w:top w:w="90" w:type="dxa"/>
              <w:bottom w:w="90" w:type="dxa"/>
              <w:left w:w="110" w:type="dxa"/>
              <w:right w:w="110" w:type="dxa"/>
            </w:tcMar>
            <w:shd w:fill="F8FAFC"/>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w:t>
            </w:r>
          </w:p>
        </w:tc>
      </w:tr>
      <w:tr>
        <w:tc>
          <w:tcPr>
            <w:tcW w:type="dxa" w:w="4896"/>
            <w:vAlign w:val="center"/>
            <w:tcMar>
              <w:top w:w="90" w:type="dxa"/>
              <w:bottom w:w="90" w:type="dxa"/>
              <w:left w:w="110" w:type="dxa"/>
              <w:right w:w="110" w:type="dxa"/>
            </w:tcMar>
            <w:shd w:fill="FFFFFF"/>
          </w:tcPr>
          <w:p>
            <w:pPr>
              <w:spacing w:after="0"/>
            </w:pPr>
            <w:r>
              <w:rPr>
                <w:color w:val="1E293B"/>
                <w:sz w:val="17"/>
              </w:rPr>
              <w:t>Extended Statutory Category Pack (Solo Parent, Maternity, Paternity, etc.)</w:t>
            </w:r>
          </w:p>
        </w:tc>
        <w:tc>
          <w:tcPr>
            <w:tcW w:type="dxa" w:w="2592"/>
            <w:vAlign w:val="center"/>
            <w:tcMar>
              <w:top w:w="90" w:type="dxa"/>
              <w:bottom w:w="90" w:type="dxa"/>
              <w:left w:w="110" w:type="dxa"/>
              <w:right w:w="110" w:type="dxa"/>
            </w:tcMar>
            <w:shd w:fill="FFFFFF"/>
          </w:tcPr>
          <w:p>
            <w:pPr>
              <w:spacing w:after="0"/>
              <w:jc w:val="center"/>
            </w:pPr>
            <w:r>
              <w:rPr>
                <w:color w:val="64748B"/>
                <w:sz w:val="17"/>
              </w:rPr>
              <w:t>—</w:t>
            </w:r>
          </w:p>
        </w:tc>
        <w:tc>
          <w:tcPr>
            <w:tcW w:type="dxa" w:w="2880"/>
            <w:vAlign w:val="center"/>
            <w:tcMar>
              <w:top w:w="90" w:type="dxa"/>
              <w:bottom w:w="90" w:type="dxa"/>
              <w:left w:w="110" w:type="dxa"/>
              <w:right w:w="110" w:type="dxa"/>
            </w:tcMar>
            <w:shd w:fill="F0FDF4"/>
          </w:tcPr>
          <w:p>
            <w:pPr>
              <w:spacing w:after="0"/>
              <w:jc w:val="center"/>
            </w:pPr>
            <w:r>
              <w:rPr>
                <w:b/>
                <w:color w:val="10B981"/>
                <w:sz w:val="17"/>
              </w:rPr>
              <w:t>INCLUDED (Full Category Suite)</w:t>
            </w:r>
          </w:p>
        </w:tc>
      </w:tr>
      <w:tr>
        <w:tc>
          <w:tcPr>
            <w:tcW w:type="dxa" w:w="4896"/>
            <w:vAlign w:val="center"/>
            <w:tcMar>
              <w:top w:w="90" w:type="dxa"/>
              <w:bottom w:w="90" w:type="dxa"/>
              <w:left w:w="110" w:type="dxa"/>
              <w:right w:w="110" w:type="dxa"/>
            </w:tcMar>
            <w:shd w:fill="F8FAFC"/>
          </w:tcPr>
          <w:p>
            <w:pPr>
              <w:spacing w:after="0"/>
            </w:pPr>
            <w:r>
              <w:rPr>
                <w:color w:val="1E293B"/>
                <w:sz w:val="17"/>
              </w:rPr>
              <w:t>Warranty &amp; SLA Support Period</w:t>
            </w:r>
          </w:p>
        </w:tc>
        <w:tc>
          <w:tcPr>
            <w:tcW w:type="dxa" w:w="2592"/>
            <w:vAlign w:val="center"/>
            <w:tcMar>
              <w:top w:w="90" w:type="dxa"/>
              <w:bottom w:w="90" w:type="dxa"/>
              <w:left w:w="110" w:type="dxa"/>
              <w:right w:w="110" w:type="dxa"/>
            </w:tcMar>
            <w:shd w:fill="F8FAFC"/>
          </w:tcPr>
          <w:p>
            <w:pPr>
              <w:spacing w:after="0"/>
              <w:jc w:val="center"/>
            </w:pPr>
            <w:r>
              <w:rPr>
                <w:sz w:val="17"/>
              </w:rPr>
              <w:t>60 Days Standard</w:t>
            </w:r>
          </w:p>
        </w:tc>
        <w:tc>
          <w:tcPr>
            <w:tcW w:type="dxa" w:w="2880"/>
            <w:vAlign w:val="center"/>
            <w:tcMar>
              <w:top w:w="90" w:type="dxa"/>
              <w:bottom w:w="90" w:type="dxa"/>
              <w:left w:w="110" w:type="dxa"/>
              <w:right w:w="110" w:type="dxa"/>
            </w:tcMar>
            <w:shd w:fill="F8FAFC"/>
          </w:tcPr>
          <w:p>
            <w:pPr>
              <w:spacing w:after="0"/>
              <w:jc w:val="center"/>
            </w:pPr>
            <w:r>
              <w:rPr>
                <w:sz w:val="17"/>
              </w:rPr>
              <w:t>3 Months Priority SLA + Staff Training</w:t>
            </w:r>
          </w:p>
        </w:tc>
      </w:tr>
    </w:tbl>
    <w:p>
      <w:pPr>
        <w:spacing w:after="240"/>
      </w:pPr>
    </w:p>
    <w:p>
      <w:r>
        <w:rPr>
          <w:b/>
          <w:color w:val="0F2744"/>
          <w:sz w:val="28"/>
        </w:rPr>
        <w:t>3. Detailed Package Breakdown</w:t>
      </w:r>
    </w:p>
    <w:p>
      <w:r>
        <w:rPr>
          <w:b/>
          <w:color w:val="0F2744"/>
          <w:sz w:val="23"/>
        </w:rPr>
        <w:t>🥈 Tier 1: Professional Edition — ₱75,000</w:t>
      </w:r>
    </w:p>
    <w:p>
      <w:pPr>
        <w:pStyle w:val="ListBullet"/>
        <w:spacing w:after="60"/>
      </w:pPr>
      <w:r>
        <w:rPr>
          <w:b/>
          <w:color w:val="1E293B"/>
          <w:sz w:val="19"/>
        </w:rPr>
        <w:t xml:space="preserve">5 Core Essential Leave Categories: </w:t>
      </w:r>
      <w:r>
        <w:rPr>
          <w:color w:val="1E293B"/>
          <w:sz w:val="19"/>
        </w:rPr>
        <w:t>Vacation Leave (VL), Sick Leave (SL), Emergency Leave, Bereavement Leave, and Leave Without Pay (LWOP).</w:t>
      </w:r>
    </w:p>
    <w:p>
      <w:pPr>
        <w:pStyle w:val="ListBullet"/>
        <w:spacing w:after="60"/>
      </w:pPr>
      <w:r>
        <w:rPr>
          <w:b/>
          <w:color w:val="1E293B"/>
          <w:sz w:val="19"/>
        </w:rPr>
        <w:t xml:space="preserve">Employee Self-Service Portal: </w:t>
      </w:r>
      <w:r>
        <w:rPr>
          <w:color w:val="1E293B"/>
          <w:sz w:val="19"/>
        </w:rPr>
        <w:t>Real-time personal balance summary cards, leave filing form, and historical status ledger.</w:t>
      </w:r>
    </w:p>
    <w:p>
      <w:pPr>
        <w:pStyle w:val="ListBullet"/>
        <w:spacing w:after="60"/>
      </w:pPr>
      <w:r>
        <w:rPr>
          <w:b/>
          <w:color w:val="1E293B"/>
          <w:sz w:val="19"/>
        </w:rPr>
        <w:t xml:space="preserve">Managing Partner Governance: </w:t>
      </w:r>
      <w:r>
        <w:rPr>
          <w:color w:val="1E293B"/>
          <w:sz w:val="19"/>
        </w:rPr>
        <w:t>Executive portal with live approval queue, engagement note documentation, and capability to file leaves on behalf of any associate.</w:t>
      </w:r>
    </w:p>
    <w:p>
      <w:pPr>
        <w:pStyle w:val="ListBullet"/>
        <w:spacing w:after="60"/>
      </w:pPr>
      <w:r>
        <w:rPr>
          <w:b/>
          <w:color w:val="1E293B"/>
          <w:sz w:val="19"/>
        </w:rPr>
        <w:t xml:space="preserve">Clean Details Modal: </w:t>
      </w:r>
      <w:r>
        <w:rPr>
          <w:color w:val="1E293B"/>
          <w:sz w:val="19"/>
        </w:rPr>
        <w:t>Complete breakdown of employee, dates, duration, reason notes, and partner approval status.</w:t>
      </w:r>
    </w:p>
    <w:p>
      <w:pPr>
        <w:pStyle w:val="ListBullet"/>
        <w:spacing w:after="60"/>
      </w:pPr>
      <w:r>
        <w:rPr>
          <w:b/>
          <w:color w:val="1E293B"/>
          <w:sz w:val="19"/>
        </w:rPr>
        <w:t xml:space="preserve">Warranty: </w:t>
      </w:r>
      <w:r>
        <w:rPr>
          <w:color w:val="1E293B"/>
          <w:sz w:val="19"/>
        </w:rPr>
        <w:t>60 Days standard bug fix warranty and system maintenance.</w:t>
      </w:r>
    </w:p>
    <w:p>
      <w:pPr>
        <w:spacing w:after="80"/>
      </w:pPr>
    </w:p>
    <w:p>
      <w:r>
        <w:rPr>
          <w:b/>
          <w:color w:val="0284C7"/>
          <w:sz w:val="23"/>
        </w:rPr>
        <w:t>🥇 Tier 2: Enterprise Suite — ₱85,000 ⭐ (Recommended Flagship Package)</w:t>
      </w:r>
    </w:p>
    <w:p>
      <w:pPr>
        <w:pStyle w:val="ListBullet"/>
        <w:spacing w:after="60"/>
      </w:pPr>
      <w:r>
        <w:rPr>
          <w:b/>
          <w:color w:val="0F2744"/>
          <w:sz w:val="19"/>
        </w:rPr>
        <w:t>Everything in Tier 1 (₱75,000) PLUS the following high-ticket enterprise modules:</w:t>
      </w:r>
    </w:p>
    <w:p>
      <w:pPr>
        <w:pStyle w:val="ListBullet"/>
        <w:spacing w:after="60"/>
      </w:pPr>
      <w:r>
        <w:rPr>
          <w:b/>
          <w:color w:val="0F2744"/>
          <w:sz w:val="19"/>
        </w:rPr>
        <w:t xml:space="preserve">Automated Formatted Payroll CSV Export Engine: </w:t>
      </w:r>
      <w:r>
        <w:rPr>
          <w:color w:val="1E293B"/>
          <w:sz w:val="19"/>
        </w:rPr>
        <w:t>One-click export formatted specifically for Philippine payroll processing (JuanTax, Sprout Solutions, QuickBooks, or custom Excel formats), automatically computing unpaid leave deductions.</w:t>
      </w:r>
    </w:p>
    <w:p>
      <w:pPr>
        <w:pStyle w:val="ListBullet"/>
        <w:spacing w:after="60"/>
      </w:pPr>
      <w:r>
        <w:rPr>
          <w:b/>
          <w:color w:val="0F2744"/>
          <w:sz w:val="19"/>
        </w:rPr>
        <w:t xml:space="preserve">Year-End Unused Leave Cash Conversion Ledger: </w:t>
      </w:r>
      <w:r>
        <w:rPr>
          <w:color w:val="1E293B"/>
          <w:sz w:val="19"/>
        </w:rPr>
        <w:t>Real-time automated computation multiplying unconsumed leave credits by employee daily wage rates, providing Managing Partners with an instant calculation of annual cash liabilities.</w:t>
      </w:r>
    </w:p>
    <w:p>
      <w:pPr>
        <w:pStyle w:val="ListBullet"/>
        <w:spacing w:after="60"/>
      </w:pPr>
      <w:r>
        <w:rPr>
          <w:b/>
          <w:color w:val="0F2744"/>
          <w:sz w:val="19"/>
        </w:rPr>
        <w:t xml:space="preserve">Interactive Multi-Department Absence Calendar: </w:t>
      </w:r>
      <w:r>
        <w:rPr>
          <w:color w:val="1E293B"/>
          <w:sz w:val="19"/>
        </w:rPr>
        <w:t>Visual monthly schedule showing team availability and planned absences to prevent engagement understaffing during client audits.</w:t>
      </w:r>
    </w:p>
    <w:p>
      <w:pPr>
        <w:pStyle w:val="ListBullet"/>
        <w:spacing w:after="60"/>
      </w:pPr>
      <w:r>
        <w:rPr>
          <w:b/>
          <w:color w:val="0F2744"/>
          <w:sz w:val="19"/>
        </w:rPr>
        <w:t xml:space="preserve">Medical Certificate &amp; Document Proof Engine: </w:t>
      </w:r>
      <w:r>
        <w:rPr>
          <w:color w:val="1E293B"/>
          <w:sz w:val="19"/>
        </w:rPr>
        <w:t>Staff can attach physician notes, CPD seminar slips, and death certificates with 1-click in-app viewing.</w:t>
      </w:r>
    </w:p>
    <w:p>
      <w:pPr>
        <w:pStyle w:val="ListBullet"/>
        <w:spacing w:after="60"/>
      </w:pPr>
      <w:r>
        <w:rPr>
          <w:b/>
          <w:color w:val="0F2744"/>
          <w:sz w:val="19"/>
        </w:rPr>
        <w:t xml:space="preserve">Immutable Enterprise Audit Trail: </w:t>
      </w:r>
      <w:r>
        <w:rPr>
          <w:color w:val="1E293B"/>
          <w:sz w:val="19"/>
        </w:rPr>
        <w:t>Tamper-proof audit logs recording every leave submission, approval, rejection, and balance adjustment with exact timestamps, user names, and client IP addresses.</w:t>
      </w:r>
    </w:p>
    <w:p>
      <w:pPr>
        <w:pStyle w:val="ListBullet"/>
        <w:spacing w:after="60"/>
      </w:pPr>
      <w:r>
        <w:rPr>
          <w:b/>
          <w:color w:val="0F2744"/>
          <w:sz w:val="19"/>
        </w:rPr>
        <w:t xml:space="preserve">Automated Real-Time Email Notifications: </w:t>
      </w:r>
      <w:r>
        <w:rPr>
          <w:color w:val="1E293B"/>
          <w:sz w:val="19"/>
        </w:rPr>
        <w:t>Instant transactional email alerts sent to staff and partners whenever leave applications are filed, approved, or rejected.</w:t>
      </w:r>
    </w:p>
    <w:p>
      <w:pPr>
        <w:pStyle w:val="ListBullet"/>
        <w:spacing w:after="60"/>
      </w:pPr>
      <w:r>
        <w:rPr>
          <w:b/>
          <w:color w:val="0F2744"/>
          <w:sz w:val="19"/>
        </w:rPr>
        <w:t xml:space="preserve">Automated Holiday &amp; Working Days Exclusion Engine: </w:t>
      </w:r>
      <w:r>
        <w:rPr>
          <w:color w:val="1E293B"/>
          <w:sz w:val="19"/>
        </w:rPr>
        <w:t>Automatically detects and excludes weekends and official statutory regular/special non-working holidays from leave deductions.</w:t>
      </w:r>
    </w:p>
    <w:p>
      <w:pPr>
        <w:pStyle w:val="ListBullet"/>
        <w:spacing w:after="60"/>
      </w:pPr>
      <w:r>
        <w:rPr>
          <w:b/>
          <w:color w:val="0F2744"/>
          <w:sz w:val="19"/>
        </w:rPr>
        <w:t xml:space="preserve">Peak Tax Season Advisory Engine: </w:t>
      </w:r>
      <w:r>
        <w:rPr>
          <w:color w:val="1E293B"/>
          <w:sz w:val="19"/>
        </w:rPr>
        <w:t>Visual blackout warning banner and partner clearance enforcement for leaves during the annual income tax return filing period (March 15 – April 15).</w:t>
      </w:r>
    </w:p>
    <w:p>
      <w:pPr>
        <w:pStyle w:val="ListBullet"/>
        <w:spacing w:after="60"/>
      </w:pPr>
      <w:r>
        <w:rPr>
          <w:b/>
          <w:color w:val="0F2744"/>
          <w:sz w:val="19"/>
        </w:rPr>
        <w:t xml:space="preserve">Administrative Accrual Engine: </w:t>
      </w:r>
      <w:r>
        <w:rPr>
          <w:color w:val="1E293B"/>
          <w:sz w:val="19"/>
        </w:rPr>
        <w:t>Automated monthly accrual rules (+1.25d VL monthly) and annual rollover configuration.</w:t>
      </w:r>
    </w:p>
    <w:p>
      <w:pPr>
        <w:pStyle w:val="ListBullet"/>
        <w:spacing w:after="60"/>
      </w:pPr>
      <w:r>
        <w:rPr>
          <w:b/>
          <w:color w:val="0F2744"/>
          <w:sz w:val="19"/>
        </w:rPr>
        <w:t xml:space="preserve">Extended Statutory Category Pack: </w:t>
      </w:r>
      <w:r>
        <w:rPr>
          <w:color w:val="1E293B"/>
          <w:sz w:val="19"/>
        </w:rPr>
        <w:t>Full configuration of Solo Parent Leave, Maternity Leave, Paternity Leave, Special Women Leave, VAWC Leave, and CPA Board Exam/CPD Study Leave.</w:t>
      </w:r>
    </w:p>
    <w:p>
      <w:pPr>
        <w:pStyle w:val="ListBullet"/>
        <w:spacing w:after="60"/>
      </w:pPr>
      <w:r>
        <w:rPr>
          <w:b/>
          <w:color w:val="0F2744"/>
          <w:sz w:val="19"/>
        </w:rPr>
        <w:t xml:space="preserve">Priority SLA Warranty &amp; Staff Training: </w:t>
      </w:r>
      <w:r>
        <w:rPr>
          <w:color w:val="1E293B"/>
          <w:sz w:val="19"/>
        </w:rPr>
        <w:t>3 Months Priority SLA Support, video tutorials, and a live executive onboarding session for all practice staff.</w:t>
      </w:r>
    </w:p>
    <w:p>
      <w:pPr>
        <w:spacing w:after="240"/>
      </w:pPr>
    </w:p>
    <w:p>
      <w:r>
        <w:rPr>
          <w:b/>
          <w:color w:val="0F2744"/>
          <w:sz w:val="28"/>
        </w:rPr>
        <w:t>4. Investment &amp; Implementation Roadmap</w:t>
      </w:r>
    </w:p>
    <w:p>
      <w:pPr>
        <w:spacing w:line="276" w:lineRule="auto"/>
      </w:pPr>
      <w:r>
        <w:rPr>
          <w:color w:val="1E293B"/>
          <w:sz w:val="19"/>
        </w:rPr>
        <w:t>By upgrading to the ₱85,000 Enterprise Suite (a modest ₱10,000 incremental difference from Tier 1), JTYeo CPA Accounting Office eliminates over 120+ hours of manual payroll reconciliation and year-end SIL liability auditing annually, while establishing rock-solid compliance documentation for DOLE and BIR labor reviews.</w:t>
      </w:r>
    </w:p>
    <w:tbl>
      <w:tblPr>
        <w:tblW w:type="auto" w:w="0"/>
        <w:jc w:val="center"/>
        <w:tblLook w:firstColumn="1" w:firstRow="1" w:lastColumn="0" w:lastRow="0" w:noHBand="0" w:noVBand="1" w:val="04A0"/>
      </w:tblPr>
      <w:tblGrid>
        <w:gridCol w:w="4968"/>
        <w:gridCol w:w="4968"/>
      </w:tblGrid>
      <w:tr>
        <w:tc>
          <w:tcPr>
            <w:tcW w:type="dxa" w:w="4968"/>
            <w:shd w:fill="F8FAFC"/>
            <w:tcMar>
              <w:top w:w="70" w:type="dxa"/>
              <w:bottom w:w="70" w:type="dxa"/>
              <w:left w:w="100" w:type="dxa"/>
              <w:right w:w="100" w:type="dxa"/>
            </w:tcMar>
          </w:tcPr>
          <w:p>
            <w:pPr>
              <w:spacing w:after="0"/>
            </w:pPr>
            <w:r>
              <w:rPr>
                <w:b/>
                <w:color w:val="0F2744"/>
                <w:sz w:val="18"/>
              </w:rPr>
              <w:t>Payment Milestone 1 (Mobilization):</w:t>
            </w:r>
            <w:r>
              <w:rPr>
                <w:color w:val="1E293B"/>
                <w:sz w:val="18"/>
              </w:rPr>
              <w:t xml:space="preserve"> 50% upon contract signing and project kickoff</w:t>
            </w:r>
          </w:p>
        </w:tc>
        <w:tc>
          <w:tcPr>
            <w:tcW w:type="dxa" w:w="4968"/>
            <w:shd w:fill="F8FAFC"/>
            <w:tcMar>
              <w:top w:w="70" w:type="dxa"/>
              <w:bottom w:w="70" w:type="dxa"/>
              <w:left w:w="100" w:type="dxa"/>
              <w:right w:w="100" w:type="dxa"/>
            </w:tcMar>
          </w:tcPr>
          <w:p>
            <w:pPr>
              <w:spacing w:after="0"/>
            </w:pPr>
            <w:r>
              <w:rPr>
                <w:b/>
                <w:color w:val="0F2744"/>
                <w:sz w:val="18"/>
              </w:rPr>
              <w:t>Implementation Timeline:</w:t>
            </w:r>
            <w:r>
              <w:rPr>
                <w:color w:val="1E293B"/>
                <w:sz w:val="18"/>
              </w:rPr>
              <w:t xml:space="preserve"> 3 to 4 Weeks from kickoff to deployment</w:t>
            </w:r>
          </w:p>
        </w:tc>
      </w:tr>
      <w:tr>
        <w:tc>
          <w:tcPr>
            <w:tcW w:type="dxa" w:w="4968"/>
            <w:shd w:fill="F8FAFC"/>
            <w:tcMar>
              <w:top w:w="70" w:type="dxa"/>
              <w:bottom w:w="70" w:type="dxa"/>
              <w:left w:w="100" w:type="dxa"/>
              <w:right w:w="100" w:type="dxa"/>
            </w:tcMar>
          </w:tcPr>
          <w:p>
            <w:pPr>
              <w:spacing w:after="0"/>
            </w:pPr>
            <w:r>
              <w:rPr>
                <w:b/>
                <w:color w:val="0F2744"/>
                <w:sz w:val="18"/>
              </w:rPr>
              <w:t>Payment Milestone 2 (Delivery):</w:t>
            </w:r>
            <w:r>
              <w:rPr>
                <w:color w:val="1E293B"/>
                <w:sz w:val="18"/>
              </w:rPr>
              <w:t xml:space="preserve"> 30% upon system staging deployment &amp; demonstration</w:t>
            </w:r>
          </w:p>
        </w:tc>
        <w:tc>
          <w:tcPr>
            <w:tcW w:type="dxa" w:w="4968"/>
            <w:shd w:fill="F8FAFC"/>
            <w:tcMar>
              <w:top w:w="70" w:type="dxa"/>
              <w:bottom w:w="70" w:type="dxa"/>
              <w:left w:w="100" w:type="dxa"/>
              <w:right w:w="100" w:type="dxa"/>
            </w:tcMar>
          </w:tcPr>
          <w:p>
            <w:pPr>
              <w:spacing w:after="0"/>
            </w:pPr>
            <w:r>
              <w:rPr>
                <w:b/>
                <w:color w:val="0F2744"/>
                <w:sz w:val="18"/>
              </w:rPr>
              <w:t>Live Demonstration System:</w:t>
            </w:r>
            <w:r>
              <w:rPr>
                <w:color w:val="1E293B"/>
                <w:sz w:val="18"/>
              </w:rPr>
              <w:t xml:space="preserve"> 100% Functional &amp; Verified Prototype Ready</w:t>
            </w:r>
          </w:p>
        </w:tc>
      </w:tr>
      <w:tr>
        <w:tc>
          <w:tcPr>
            <w:tcW w:type="dxa" w:w="4968"/>
            <w:shd w:fill="F8FAFC"/>
            <w:tcMar>
              <w:top w:w="70" w:type="dxa"/>
              <w:bottom w:w="70" w:type="dxa"/>
              <w:left w:w="100" w:type="dxa"/>
              <w:right w:w="100" w:type="dxa"/>
            </w:tcMar>
          </w:tcPr>
          <w:p>
            <w:pPr>
              <w:spacing w:after="0"/>
            </w:pPr>
            <w:r>
              <w:rPr>
                <w:b/>
                <w:color w:val="0F2744"/>
                <w:sz w:val="18"/>
              </w:rPr>
              <w:t>Payment Milestone 3 (Sign-Off):</w:t>
            </w:r>
            <w:r>
              <w:rPr>
                <w:color w:val="1E293B"/>
                <w:sz w:val="18"/>
              </w:rPr>
              <w:t xml:space="preserve"> 20% upon final acceptance &amp; staff training session</w:t>
            </w:r>
          </w:p>
        </w:tc>
        <w:tc>
          <w:tcPr>
            <w:tcW w:type="dxa" w:w="4968"/>
            <w:shd w:fill="F8FAFC"/>
            <w:tcMar>
              <w:top w:w="70" w:type="dxa"/>
              <w:bottom w:w="70" w:type="dxa"/>
              <w:left w:w="100" w:type="dxa"/>
              <w:right w:w="100" w:type="dxa"/>
            </w:tcMar>
          </w:tcPr>
          <w:p>
            <w:pPr>
              <w:spacing w:after="0"/>
            </w:pPr>
            <w:r>
              <w:rPr>
                <w:b/>
                <w:color w:val="0F2744"/>
                <w:sz w:val="18"/>
              </w:rPr>
              <w:t>Client Support Guarantee:</w:t>
            </w:r>
            <w:r>
              <w:rPr>
                <w:color w:val="1E293B"/>
                <w:sz w:val="18"/>
              </w:rPr>
              <w:t xml:space="preserve"> Dedicated Priority Technical Support Included</w:t>
            </w:r>
          </w:p>
        </w:tc>
      </w:tr>
    </w:tbl>
    <w:p>
      <w:pPr>
        <w:spacing w:after="360"/>
      </w:pPr>
    </w:p>
    <w:p>
      <w:r>
        <w:rPr>
          <w:b/>
          <w:color w:val="0F2744"/>
          <w:sz w:val="28"/>
        </w:rPr>
        <w:t>5. Proposal Acceptance &amp; Authorization</w:t>
      </w:r>
    </w:p>
    <w:tbl>
      <w:tblPr>
        <w:tblW w:type="auto" w:w="0"/>
        <w:jc w:val="center"/>
        <w:tblLook w:firstColumn="1" w:firstRow="1" w:lastColumn="0" w:lastRow="0" w:noHBand="0" w:noVBand="1" w:val="04A0"/>
      </w:tblPr>
      <w:tblGrid>
        <w:gridCol w:w="4968"/>
        <w:gridCol w:w="4968"/>
      </w:tblGrid>
      <w:tr>
        <w:tc>
          <w:tcPr>
            <w:tcW w:type="dxa" w:w="4968"/>
            <w:tcMar>
              <w:top w:w="80" w:type="dxa"/>
              <w:bottom w:w="80" w:type="dxa"/>
              <w:left w:w="100" w:type="dxa"/>
              <w:right w:w="100" w:type="dxa"/>
            </w:tcMar>
          </w:tcPr>
          <w:p>
            <w:r>
              <w:rPr>
                <w:sz w:val="19"/>
              </w:rPr>
              <w:t>Prepared &amp; Submitted By:</w:t>
              <w:br/>
              <w:br/>
              <w:br/>
              <w:t>_____________________________________</w:t>
              <w:br/>
            </w:r>
            <w:r>
              <w:rPr>
                <w:b/>
                <w:sz w:val="19"/>
              </w:rPr>
              <w:t>Executive Software Solutions Team</w:t>
              <w:br/>
            </w:r>
            <w:r>
              <w:rPr>
                <w:sz w:val="18"/>
              </w:rPr>
              <w:t>Technical Implementation Lead</w:t>
            </w:r>
          </w:p>
        </w:tc>
        <w:tc>
          <w:tcPr>
            <w:tcW w:type="dxa" w:w="4968"/>
            <w:tcMar>
              <w:top w:w="80" w:type="dxa"/>
              <w:bottom w:w="80" w:type="dxa"/>
              <w:left w:w="100" w:type="dxa"/>
              <w:right w:w="100" w:type="dxa"/>
            </w:tcMar>
          </w:tcPr>
          <w:p>
            <w:r>
              <w:rPr>
                <w:sz w:val="19"/>
              </w:rPr>
              <w:t>Accepted &amp; Approved By:</w:t>
              <w:br/>
              <w:br/>
              <w:br/>
              <w:t>_____________________________________</w:t>
              <w:br/>
            </w:r>
            <w:r>
              <w:rPr>
                <w:b/>
                <w:sz w:val="19"/>
              </w:rPr>
              <w:t>Atty. Jonathan Yeo, CPA</w:t>
              <w:br/>
            </w:r>
            <w:r>
              <w:rPr>
                <w:sz w:val="18"/>
              </w:rPr>
              <w:t>Managing Partner &amp; HR Head, JTYeo CPA Accounting Office</w:t>
            </w:r>
          </w:p>
        </w:tc>
      </w:tr>
      <w:tr>
        <w:tc>
          <w:tcPr>
            <w:tcW w:type="dxa" w:w="4968"/>
          </w:tcPr>
          <w:p/>
        </w:tc>
        <w:tc>
          <w:tcPr>
            <w:tcW w:type="dxa" w:w="4968"/>
          </w:tcP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