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2744"/>
          <w:sz w:val="36"/>
        </w:rPr>
        <w:t>JTYEO CPA ACCOUNTING OFFICE</w:t>
      </w:r>
    </w:p>
    <w:p>
      <w:pPr>
        <w:spacing w:before="0" w:after="40"/>
      </w:pPr>
      <w:r>
        <w:rPr>
          <w:color w:val="475569"/>
          <w:sz w:val="22"/>
        </w:rPr>
        <w:t>Leave &amp; Attendance Management System — Feature Overview &amp; Pricing Proposal</w:t>
      </w:r>
    </w:p>
    <w:p>
      <w:pPr>
        <w:spacing w:before="0" w:after="360"/>
      </w:pPr>
      <w:r>
        <w:rPr>
          <w:color w:val="94A3B8"/>
          <w:sz w:val="18"/>
        </w:rPr>
        <w:t>Prepared August 2026</w:t>
      </w:r>
    </w:p>
    <w:p>
      <w:pPr>
        <w:spacing w:before="280" w:after="120"/>
      </w:pPr>
      <w:r>
        <w:rPr>
          <w:b/>
          <w:color w:val="0F2744"/>
          <w:sz w:val="28"/>
        </w:rPr>
        <w:t>1. Feature Requirements</w:t>
      </w:r>
    </w:p>
    <w:p>
      <w:pPr>
        <w:spacing w:before="160" w:after="60"/>
      </w:pPr>
      <w:r>
        <w:rPr>
          <w:b/>
          <w:color w:val="0F2744"/>
          <w:sz w:val="24"/>
        </w:rPr>
        <w:t>Managing Partner &amp; HR Admin</w:t>
      </w:r>
    </w:p>
    <w:p>
      <w:pPr>
        <w:pStyle w:val="ListParagraph"/>
        <w:spacing w:before="20" w:after="50"/>
      </w:pPr>
      <w:r>
        <w:t>Executive workforce dashboard with live headcount, on-duty percentage, and active leaves overview</w:t>
      </w:r>
    </w:p>
    <w:p>
      <w:pPr>
        <w:pStyle w:val="ListParagraph"/>
        <w:spacing w:before="20" w:after="50"/>
      </w:pPr>
      <w:r>
        <w:t>Firm-wide leave ledger tracking all filed, approved, rejected, and active staff absences</w:t>
      </w:r>
    </w:p>
    <w:p>
      <w:pPr>
        <w:pStyle w:val="ListParagraph"/>
        <w:spacing w:before="20" w:after="50"/>
      </w:pPr>
      <w:r>
        <w:t>Statutory DOLE compliance tracker (Article 95 Service Incentive Leave 5-day monetization reserve)</w:t>
      </w:r>
    </w:p>
    <w:p>
      <w:pPr>
        <w:pStyle w:val="ListParagraph"/>
        <w:spacing w:before="20" w:after="50"/>
      </w:pPr>
      <w:r>
        <w:t>Review and decision engine for all pending leave applications across departments</w:t>
      </w:r>
    </w:p>
    <w:p>
      <w:pPr>
        <w:pStyle w:val="ListParagraph"/>
        <w:spacing w:before="20" w:after="50"/>
      </w:pPr>
      <w:r>
        <w:t>Approver feedback dialog allowing personalized notes or explanations on decisions</w:t>
      </w:r>
    </w:p>
    <w:p>
      <w:pPr>
        <w:pStyle w:val="ListParagraph"/>
        <w:spacing w:before="20" w:after="50"/>
      </w:pPr>
      <w:r>
        <w:t>Manual balance adjustment tool to increment (+) or decrement (-) credits with mandatory audit reasoning</w:t>
      </w:r>
    </w:p>
    <w:p>
      <w:pPr>
        <w:pStyle w:val="ListParagraph"/>
        <w:spacing w:before="20" w:after="50"/>
      </w:pPr>
      <w:r>
        <w:t>Global Monthly Accrual engine (+1.25 Vacation Leave days per month for active staff)</w:t>
      </w:r>
    </w:p>
    <w:p>
      <w:pPr>
        <w:pStyle w:val="ListParagraph"/>
        <w:spacing w:before="20" w:after="50"/>
      </w:pPr>
      <w:r>
        <w:t>Annual DOLE SIL Rollover &amp; Reset engine refreshing staff to 5.0 statutory days at fiscal year-end</w:t>
      </w:r>
    </w:p>
    <w:p>
      <w:pPr>
        <w:pStyle w:val="ListParagraph"/>
        <w:spacing w:before="20" w:after="50"/>
      </w:pPr>
      <w:r>
        <w:t>One-click DOLE/BIR-ready Payroll CSV export with employee IDs, deduction codes, and paid/unpaid status</w:t>
      </w:r>
    </w:p>
    <w:p>
      <w:pPr>
        <w:pStyle w:val="ListParagraph"/>
        <w:spacing w:before="20" w:after="50"/>
      </w:pPr>
      <w:r>
        <w:t>Interactive monthly team leave calendar with color-coded statutory categories and Philippine public holidays</w:t>
      </w:r>
    </w:p>
    <w:p>
      <w:pPr>
        <w:pStyle w:val="ListParagraph"/>
        <w:spacing w:before="20" w:after="50"/>
      </w:pPr>
      <w:r>
        <w:t>Immutable system audit trail logging leave submissions, approvals/rejections, and balance adjustments with IP timestamps</w:t>
      </w:r>
    </w:p>
    <w:p>
      <w:pPr>
        <w:pStyle w:val="ListParagraph"/>
        <w:spacing w:before="20" w:after="50"/>
      </w:pPr>
      <w:r>
        <w:t>Engagement team coverage matrix across Audit &amp; Assurance, Taxation &amp; Compliance, and Bookkeeping</w:t>
      </w:r>
    </w:p>
    <w:p>
      <w:pPr>
        <w:spacing w:before="200" w:after="60"/>
      </w:pPr>
      <w:r>
        <w:rPr>
          <w:b/>
          <w:color w:val="0F2744"/>
          <w:sz w:val="24"/>
        </w:rPr>
        <w:t>Senior Lead / Engagement Supervisor</w:t>
      </w:r>
    </w:p>
    <w:p>
      <w:pPr>
        <w:pStyle w:val="ListParagraph"/>
        <w:spacing w:before="20" w:after="50"/>
      </w:pPr>
      <w:r>
        <w:t>Dedicated lead reviewer approvals queue displaying pending staff requests front-and-center</w:t>
      </w:r>
    </w:p>
    <w:p>
      <w:pPr>
        <w:pStyle w:val="ListParagraph"/>
        <w:spacing w:before="20" w:after="50"/>
      </w:pPr>
      <w:r>
        <w:t>Live conflict and overlap detection to prevent understaffing during critical client audit engagements</w:t>
      </w:r>
    </w:p>
    <w:p>
      <w:pPr>
        <w:pStyle w:val="ListParagraph"/>
        <w:spacing w:before="20" w:after="50"/>
      </w:pPr>
      <w:r>
        <w:t>One-click Approval / Rejection modal with reviewer note support (e.g., coverage handover instructions)</w:t>
      </w:r>
    </w:p>
    <w:p>
      <w:pPr>
        <w:pStyle w:val="ListParagraph"/>
        <w:spacing w:before="20" w:after="50"/>
      </w:pPr>
      <w:r>
        <w:t>Personal leave balance monitor (DOLE SIL, Vacation Leave, Sick Leave, Solo Parent)</w:t>
      </w:r>
    </w:p>
    <w:p>
      <w:pPr>
        <w:pStyle w:val="ListParagraph"/>
        <w:spacing w:before="20" w:after="50"/>
      </w:pPr>
      <w:r>
        <w:t>Submission of personal leave requests with automated working day calculation</w:t>
      </w:r>
    </w:p>
    <w:p>
      <w:pPr>
        <w:pStyle w:val="ListParagraph"/>
        <w:spacing w:before="20" w:after="50"/>
      </w:pPr>
      <w:r>
        <w:t>Department-level team roster and attendance matrix view</w:t>
      </w:r>
    </w:p>
    <w:p>
      <w:pPr>
        <w:pStyle w:val="ListParagraph"/>
        <w:spacing w:before="20" w:after="50"/>
      </w:pPr>
      <w:r>
        <w:t>Interactive full calendar visibility into firm-wide schedule and DOLE holidays</w:t>
      </w:r>
    </w:p>
    <w:p>
      <w:pPr>
        <w:spacing w:before="200" w:after="60"/>
      </w:pPr>
      <w:r>
        <w:rPr>
          <w:b/>
          <w:color w:val="0F2744"/>
          <w:sz w:val="24"/>
        </w:rPr>
        <w:t>Staff Accountant / Associate CPA</w:t>
      </w:r>
    </w:p>
    <w:p>
      <w:pPr>
        <w:pStyle w:val="ListParagraph"/>
        <w:spacing w:before="20" w:after="50"/>
      </w:pPr>
      <w:r>
        <w:t>Self-service dashboard displaying real-time personal allowances (SIL, Vacation, Sick, Solo Parent, Magna Carta)</w:t>
      </w:r>
    </w:p>
    <w:p>
      <w:pPr>
        <w:pStyle w:val="ListParagraph"/>
        <w:spacing w:before="20" w:after="50"/>
      </w:pPr>
      <w:r>
        <w:t>Leave application form with smart working-day calculator excluding weekends and Philippine public holidays</w:t>
      </w:r>
    </w:p>
    <w:p>
      <w:pPr>
        <w:pStyle w:val="ListParagraph"/>
        <w:spacing w:before="20" w:after="50"/>
      </w:pPr>
      <w:r>
        <w:t>Flexible duration modes: Full Day (1.0d), Half-Day Morning (0.5d), Half-Day Afternoon (0.5d)</w:t>
      </w:r>
    </w:p>
    <w:p>
      <w:pPr>
        <w:pStyle w:val="ListParagraph"/>
        <w:spacing w:before="20" w:after="50"/>
      </w:pPr>
      <w:r>
        <w:t>Medical certificate &amp; supporting slip file uploader (required for sick leaves &gt; 2 consecutive working days)</w:t>
      </w:r>
    </w:p>
    <w:p>
      <w:pPr>
        <w:pStyle w:val="ListParagraph"/>
        <w:spacing w:before="20" w:after="50"/>
      </w:pPr>
      <w:r>
        <w:t>Personal leave application history with live status tracking (Pending, Approved, Rejected) and signoff notes</w:t>
      </w:r>
    </w:p>
    <w:p>
      <w:pPr>
        <w:pStyle w:val="ListParagraph"/>
        <w:spacing w:before="20" w:after="50"/>
      </w:pPr>
      <w:r>
        <w:t>Firm leave &amp; holiday calendar access to check team availability before filing</w:t>
      </w:r>
    </w:p>
    <w:p>
      <w:pPr>
        <w:pStyle w:val="ListParagraph"/>
        <w:spacing w:before="20" w:after="50"/>
      </w:pPr>
      <w:r>
        <w:t>Comprehensive DOLE statutory leave rules and legal entitlement reference guide</w:t>
      </w:r>
    </w:p>
    <w:p>
      <w:pPr>
        <w:spacing w:before="320" w:after="120"/>
      </w:pPr>
      <w:r>
        <w:rPr>
          <w:b/>
          <w:color w:val="0F2744"/>
          <w:sz w:val="28"/>
        </w:rPr>
        <w:t>2. Updated Pricing Breakdown</w:t>
      </w:r>
    </w:p>
    <w:p>
      <w:pPr>
        <w:spacing w:before="0" w:after="200"/>
      </w:pPr>
      <w:r>
        <w:t>The leave and attendance workflows for a CPA practice require strict alignment with Philippine Labor Standards (DOLE Art. 95) and client engagement deadlines. The Tier 1 base system provides complete paperless leave governance and statutory compliance. Tier 2 (₱70,000) represents the Recommended Sweet Spot, introducing automated 2-tier partner signoffs, 1-click email approvals, and peak BIR Tax Season lockout rules. Tier 3 (₱85,000) offers enterprise-grade payroll system sync, morning Viber/Teams emergency alerts, and 3 months priority SLA maintenance.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single" w:sz="4" w:space="0" w:color="E2E8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F274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592"/>
            <w:shd w:fill="0F274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TIER 1</w:t>
              <w:br/>
              <w:t>Core System</w:t>
            </w:r>
          </w:p>
        </w:tc>
        <w:tc>
          <w:tcPr>
            <w:tcW w:type="dxa" w:w="2736"/>
            <w:shd w:fill="0F274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TIER 2 (Sweet Spot)</w:t>
              <w:br/>
              <w:t>Pro Practice Suite</w:t>
            </w:r>
          </w:p>
        </w:tc>
        <w:tc>
          <w:tcPr>
            <w:tcW w:type="dxa" w:w="2736"/>
            <w:shd w:fill="0F274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TIER 3</w:t>
              <w:br/>
              <w:t>Enterprise Suite</w:t>
            </w:r>
          </w:p>
        </w:tc>
      </w:tr>
      <w:tr>
        <w:tc>
          <w:tcPr>
            <w:tcW w:type="dxa" w:w="1296"/>
            <w:shd w:fill="F1F5F9"/>
          </w:tcPr>
          <w:p>
            <w:pPr>
              <w:jc w:val="left"/>
            </w:pPr>
            <w:r>
              <w:rPr>
                <w:b/>
                <w:color w:val="0F2744"/>
                <w:sz w:val="22"/>
              </w:rPr>
              <w:t>Price</w:t>
            </w:r>
          </w:p>
        </w:tc>
        <w:tc>
          <w:tcPr>
            <w:tcW w:type="dxa" w:w="2592"/>
            <w:shd w:fill="F1F5F9"/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₱50,000</w:t>
            </w:r>
          </w:p>
        </w:tc>
        <w:tc>
          <w:tcPr>
            <w:tcW w:type="dxa" w:w="2736"/>
            <w:shd w:fill="F1F5F9"/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₱70,000</w:t>
            </w:r>
          </w:p>
        </w:tc>
        <w:tc>
          <w:tcPr>
            <w:tcW w:type="dxa" w:w="2736"/>
            <w:shd w:fill="F1F5F9"/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₱85,000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>
              <w:rPr>
                <w:b/>
                <w:sz w:val="19"/>
              </w:rPr>
              <w:t>Scope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color w:val="334155"/>
                <w:sz w:val="17"/>
              </w:rPr>
              <w:t>• Centralized leave &amp; attendance database</w:t>
              <w:br/>
              <w:t>• DOLE statutory leave tracking (SIL 5d, VL 12d, SL 10d, Solo Parent 7d)</w:t>
              <w:br/>
              <w:t>• Role-separated dashboards (Staff CPA, Senior Lead, Partner/HR)</w:t>
              <w:br/>
              <w:t>• Philippine holiday &amp; weekend auto-exclusion working day calculator</w:t>
              <w:br/>
              <w:t>• Interactive leave calendar (FullCalendar.js)</w:t>
              <w:br/>
              <w:t>• Managerial decision modal with feedback note support</w:t>
              <w:br/>
              <w:t>• Basic CSV leave ledger export</w:t>
              <w:br/>
              <w:t>• Targeted audit trail (applications, decisions, adjustments)</w:t>
              <w:br/>
              <w:t>• 1-click demo persona switcher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color w:val="334155"/>
                <w:sz w:val="17"/>
              </w:rPr>
              <w:t>• Everything included in Tier 1</w:t>
              <w:br/>
              <w:t>• 2-Tier Approval Workflow (Senior Audit Lead -&gt; Managing Partner)</w:t>
              <w:br/>
              <w:t>• Automated Email Notifications with 1-click mobile approve/reject links</w:t>
              <w:br/>
              <w:t>• Peak BIR Tax Season 'Leave Freeze' (Automated Blackout Period controls)</w:t>
              <w:br/>
              <w:t>• DOLE SIL Monetization &amp; Cash Conversion Calculator</w:t>
              <w:br/>
              <w:t>• Medical Certificate &amp; Supporting Slip Cloud Storage &amp; in-app preview</w:t>
              <w:br/>
              <w:t>• HR Leave Credit Adjuster (+/- days) with administrative audit reasons</w:t>
              <w:br/>
              <w:t>• Global Monthly Accrual engine (+1.25d VL/month)</w:t>
              <w:br/>
              <w:t>• Annual DOLE SIL Reset (5.0d) fiscal year rollover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color w:val="334155"/>
                <w:sz w:val="17"/>
              </w:rPr>
              <w:t>• Everything included in Tier 2</w:t>
              <w:br/>
              <w:t>• 1-Click Payroll &amp; Timekeeper Sync Engine (mapped to payroll Excel/software)</w:t>
              <w:br/>
              <w:t>• Department Engagement Matrix with minimum staffing thresholds</w:t>
              <w:br/>
              <w:t>• Instant Chatbot / Messaging Alerts (Viber / MS Teams / Slack for morning absences)</w:t>
              <w:br/>
              <w:t>• Partner Executive BI Analytics (Absentee heatmaps, seasonal utilization rates)</w:t>
              <w:br/>
              <w:t>• Full source code handover with cloud/server deployment setup</w:t>
              <w:br/>
              <w:t>• 3 Months Priority SLA Support &amp; warranty</w:t>
              <w:br/>
              <w:t>• Complete Video Training Walkthrough library for staff onboarding</w:t>
            </w:r>
          </w:p>
        </w:tc>
      </w:tr>
    </w:tbl>
    <w:p>
      <w:pPr>
        <w:spacing w:before="320" w:after="120"/>
      </w:pPr>
      <w:r>
        <w:rPr>
          <w:b/>
          <w:color w:val="0F2744"/>
          <w:sz w:val="28"/>
        </w:rPr>
        <w:t>3. Terms &amp; Conditions</w:t>
      </w:r>
    </w:p>
    <w:p>
      <w:pPr>
        <w:spacing w:before="160" w:after="40"/>
      </w:pPr>
      <w:r>
        <w:rPr>
          <w:b/>
          <w:color w:val="0F2744"/>
          <w:sz w:val="22"/>
        </w:rPr>
        <w:t>Payment Schedule</w:t>
      </w:r>
    </w:p>
    <w:p>
      <w:pPr>
        <w:pStyle w:val="ListParagraph"/>
        <w:spacing w:before="20" w:after="50"/>
      </w:pPr>
      <w:r>
        <w:t>A 50% down payment is required to commence project development, with the remaining 50% due upon final system deployment and client acceptance.</w:t>
      </w:r>
    </w:p>
    <w:p>
      <w:pPr>
        <w:pStyle w:val="ListParagraph"/>
        <w:spacing w:before="20" w:after="50"/>
      </w:pPr>
      <w:r>
        <w:t>Tier upgrades or additional custom add-on modules requested after project kickoff will be quoted and invoiced separately upon agreement.</w:t>
      </w:r>
    </w:p>
    <w:p>
      <w:pPr>
        <w:pStyle w:val="ListParagraph"/>
        <w:spacing w:before="20" w:after="50"/>
      </w:pPr>
      <w:r>
        <w:t>All prices are quoted in Philippine Pesos (₱) and are net of applicable withholding taxes unless otherwise stated.</w:t>
      </w:r>
    </w:p>
    <w:p>
      <w:pPr>
        <w:spacing w:before="160" w:after="40"/>
      </w:pPr>
      <w:r>
        <w:rPr>
          <w:b/>
          <w:color w:val="0F2744"/>
          <w:sz w:val="22"/>
        </w:rPr>
        <w:t>Project Timeline &amp; Delivery</w:t>
      </w:r>
    </w:p>
    <w:p>
      <w:pPr>
        <w:pStyle w:val="ListParagraph"/>
        <w:spacing w:before="20" w:after="50"/>
      </w:pPr>
      <w:r>
        <w:t>Tier 1 (Core Portal): Estimated delivery within two to three (2–3) weeks from kickoff.</w:t>
      </w:r>
    </w:p>
    <w:p>
      <w:pPr>
        <w:pStyle w:val="ListParagraph"/>
        <w:spacing w:before="20" w:after="50"/>
      </w:pPr>
      <w:r>
        <w:t>Tier 2 (Pro Practice Suite): Estimated delivery within three to four (3–4) weeks from kickoff.</w:t>
      </w:r>
    </w:p>
    <w:p>
      <w:pPr>
        <w:pStyle w:val="ListParagraph"/>
        <w:spacing w:before="20" w:after="50"/>
      </w:pPr>
      <w:r>
        <w:t>Tier 3 (Enterprise Suite): Estimated delivery within four to five (4–5) weeks from kickoff.</w:t>
      </w:r>
    </w:p>
    <w:p>
      <w:pPr>
        <w:pStyle w:val="ListParagraph"/>
        <w:spacing w:before="20" w:after="50"/>
      </w:pPr>
      <w:r>
        <w:t>Timelines assume timely provision of firm roster details, engagement policies, and milestone signoffs.</w:t>
      </w:r>
    </w:p>
    <w:p>
      <w:pPr>
        <w:spacing w:before="160" w:after="40"/>
      </w:pPr>
      <w:r>
        <w:rPr>
          <w:b/>
          <w:color w:val="0F2744"/>
          <w:sz w:val="22"/>
        </w:rPr>
        <w:t>Revisions &amp; Milestone Signoffs</w:t>
      </w:r>
    </w:p>
    <w:p>
      <w:pPr>
        <w:pStyle w:val="ListParagraph"/>
        <w:spacing w:before="20" w:after="50"/>
      </w:pPr>
      <w:r>
        <w:t>Two (2) formal rounds of design and workflow revisions are included per development milestone.</w:t>
      </w:r>
    </w:p>
    <w:p>
      <w:pPr>
        <w:pStyle w:val="ListParagraph"/>
        <w:spacing w:before="20" w:after="50"/>
      </w:pPr>
      <w:r>
        <w:t>Additional revisions or scope changes outside the approved functional specifications will be quoted separately.</w:t>
      </w:r>
    </w:p>
    <w:p>
      <w:pPr>
        <w:spacing w:before="160" w:after="40"/>
      </w:pPr>
      <w:r>
        <w:rPr>
          <w:b/>
          <w:color w:val="0F2744"/>
          <w:sz w:val="22"/>
        </w:rPr>
        <w:t>Ownership &amp; Confidentiality</w:t>
      </w:r>
    </w:p>
    <w:p>
      <w:pPr>
        <w:pStyle w:val="ListParagraph"/>
        <w:spacing w:before="20" w:after="50"/>
      </w:pPr>
      <w:r>
        <w:t>Full ownership of the completed application, including custom source code and database schemas, is transferred to JTYeo CPA Accounting Office upon receipt of final payment.</w:t>
      </w:r>
    </w:p>
    <w:p>
      <w:pPr>
        <w:pStyle w:val="ListParagraph"/>
        <w:spacing w:before="20" w:after="50"/>
      </w:pPr>
      <w:r>
        <w:t>All staff records, client engagement lists, partner communications, and firm financial data are treated under strict non-disclosure.</w:t>
      </w:r>
    </w:p>
    <w:p>
      <w:pPr>
        <w:spacing w:before="160" w:after="40"/>
      </w:pPr>
      <w:r>
        <w:rPr>
          <w:b/>
          <w:color w:val="0F2744"/>
          <w:sz w:val="22"/>
        </w:rPr>
        <w:t>Support, SLA &amp; Maintenance</w:t>
      </w:r>
    </w:p>
    <w:p>
      <w:pPr>
        <w:pStyle w:val="ListParagraph"/>
        <w:spacing w:before="20" w:after="50"/>
      </w:pPr>
      <w:r>
        <w:t>A complimentary 30-day post-launch warranty is included for Tier 1 and Tier 2 for bug fixes and stability assurance.</w:t>
      </w:r>
    </w:p>
    <w:p>
      <w:pPr>
        <w:pStyle w:val="ListParagraph"/>
        <w:spacing w:before="20" w:after="50"/>
      </w:pPr>
      <w:r>
        <w:t>Tier 3 includes an extended three (3) months of Priority SLA Support covering feature fine-tuning, partner support, and staff onboarding.</w:t>
      </w:r>
    </w:p>
    <w:p>
      <w:pPr>
        <w:pStyle w:val="ListParagraph"/>
        <w:spacing w:before="20" w:after="50"/>
      </w:pPr>
      <w:r>
        <w:t>Annual maintenance, server hosting management, and continuous feature updates beyond warranty are available under an optional retainer agreement.</w:t>
      </w:r>
    </w:p>
    <w:p>
      <w:pPr>
        <w:spacing w:before="160" w:after="40"/>
      </w:pPr>
      <w:r>
        <w:rPr>
          <w:b/>
          <w:color w:val="0F2744"/>
          <w:sz w:val="22"/>
        </w:rPr>
        <w:t>Validity of Proposal</w:t>
      </w:r>
    </w:p>
    <w:p>
      <w:pPr>
        <w:pStyle w:val="ListParagraph"/>
        <w:spacing w:before="20" w:after="50"/>
      </w:pPr>
      <w:r>
        <w:t>This proposal, including all presented tier pricing, is valid for thirty (30) days from the date of presentation.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