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workforce scheduling, statutory leave compliance, and billable hour preservation during peak tax and audit deadlines are paramount. Manual tracking via paper forms or spreadsheets leads to unverified absences, lost billable hours, engagement coverage blindspots, and unexpected year-end cash liabilities under standard Service Incentive Leave (SIL) rules.</w:t>
        <w:br/>
        <w:br/>
        <w:t>This proposal presents two clear, tailored implementation packages for JTYeo CPA Accounting Office:</w:t>
      </w:r>
    </w:p>
    <w:p>
      <w:pPr>
        <w:pStyle w:val="ListBullet"/>
      </w:pPr>
      <w:r>
        <w:rPr>
          <w:b/>
          <w:color w:val="0F2744"/>
        </w:rPr>
        <w:t xml:space="preserve">Tier 1: Professional CPA Practice Edition (₱75,000) — </w:t>
      </w:r>
      <w:r>
        <w:t>Complete 12-category leave management, staff self-service balances, partner approval queue &amp; on-behalf filing, and clean leave details modal.</w:t>
      </w:r>
    </w:p>
    <w:p>
      <w:pPr>
        <w:pStyle w:val="ListBullet"/>
      </w:pPr>
      <w:r>
        <w:rPr>
          <w:b/>
          <w:color w:val="0284C7"/>
        </w:rPr>
        <w:t xml:space="preserve">Tier 2: Enterprise Practice Cloud Suite (₱85,000) ⭐ Recommended Flagship — </w:t>
      </w:r>
      <w:r>
        <w:t>Everything in Tier 1 PLUS Automated Holiday &amp; Working Days Exclusion Engine, Peak Tax Season Blackout Advisory, Interactive Team Calendar, Medical Certificate Proof Viewer, automated one-click payroll CSV export (JuanTax/Sprout/QuickBooks), Year-End Unused Leave Cash Conversion Ledger, immutable enterprise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 Edition</w:t>
              <w:br/>
              <w:t>(₱75,000)</w:t>
              <w:br/>
              <w:t>[The Live System]</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br/>
              <w:t>[Target Flagship]</w:t>
            </w:r>
          </w:p>
        </w:tc>
      </w:tr>
      <w:tr>
        <w:tc>
          <w:tcPr>
            <w:tcW w:type="dxa" w:w="4896"/>
            <w:vAlign w:val="center"/>
            <w:tcMar>
              <w:top w:w="90" w:type="dxa"/>
              <w:bottom w:w="90" w:type="dxa"/>
              <w:left w:w="110" w:type="dxa"/>
              <w:right w:w="110" w:type="dxa"/>
            </w:tcMar>
            <w:shd w:fill="FFFFFF"/>
          </w:tcPr>
          <w:p>
            <w:pPr>
              <w:spacing w:after="0"/>
            </w:pPr>
            <w:r>
              <w:rPr>
                <w:color w:val="1E293B"/>
                <w:sz w:val="17"/>
              </w:rPr>
              <w:t>5 Core Essential Leave Categories (VL, SL, Emergency, Bereavement, LWOP)</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Staff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Approval &amp; Decision Review Queue</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Managing Partner Filing On Behalf of Any Employee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Clean Leave Application Details &amp; Partner Status Modal</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Year-End Unused Leave Cash Conversion Ledger &amp; Reserve Calculator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Interactive Multi-Department Absence Calendar &amp; Schedule Sync</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(Visual Schedule)</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Document Proof Upload &amp; In-App Viewer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(Verification Engine)</w:t>
            </w:r>
          </w:p>
        </w:tc>
      </w:tr>
      <w:tr>
        <w:tc>
          <w:tcPr>
            <w:tcW w:type="dxa" w:w="4896"/>
            <w:vAlign w:val="center"/>
            <w:tcMar>
              <w:top w:w="90" w:type="dxa"/>
              <w:bottom w:w="90" w:type="dxa"/>
              <w:left w:w="110" w:type="dxa"/>
              <w:right w:w="110" w:type="dxa"/>
            </w:tcMar>
            <w:shd w:fill="F8FAFC"/>
          </w:tcPr>
          <w:p>
            <w:pPr>
              <w:spacing w:after="0"/>
            </w:pPr>
            <w:r>
              <w:rPr>
                <w:color w:val="1E293B"/>
                <w:sz w:val="17"/>
              </w:rPr>
              <w:t>Immutable Enterprise Audit Trail with Client IP Tracking</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FFFFF"/>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Holiday &amp; Working Days Exclusion Engine</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(Auto-Excludes Weekends &amp; Official Holidays)</w:t>
            </w:r>
          </w:p>
        </w:tc>
      </w:tr>
      <w:tr>
        <w:tc>
          <w:tcPr>
            <w:tcW w:type="dxa" w:w="4896"/>
            <w:vAlign w:val="center"/>
            <w:tcMar>
              <w:top w:w="90" w:type="dxa"/>
              <w:bottom w:w="90" w:type="dxa"/>
              <w:left w:w="110" w:type="dxa"/>
              <w:right w:w="110" w:type="dxa"/>
            </w:tcMar>
            <w:shd w:fill="FFFFFF"/>
          </w:tcPr>
          <w:p>
            <w:pPr>
              <w:spacing w:after="0"/>
            </w:pPr>
            <w:r>
              <w:rPr>
                <w:color w:val="1E293B"/>
                <w:sz w:val="17"/>
              </w:rPr>
              <w:t>Peak Tax Season (March 15 - April 15) Blackout Warnings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(Client Engagement Protection)</w:t>
            </w:r>
          </w:p>
        </w:tc>
      </w:tr>
      <w:tr>
        <w:tc>
          <w:tcPr>
            <w:tcW w:type="dxa" w:w="4896"/>
            <w:vAlign w:val="center"/>
            <w:tcMar>
              <w:top w:w="90" w:type="dxa"/>
              <w:bottom w:w="90" w:type="dxa"/>
              <w:left w:w="110" w:type="dxa"/>
              <w:right w:w="110" w:type="dxa"/>
            </w:tcMar>
            <w:shd w:fill="F8FAFC"/>
          </w:tcPr>
          <w:p>
            <w:pPr>
              <w:spacing w:after="0"/>
            </w:pPr>
            <w:r>
              <w:rPr>
                <w:color w:val="1E293B"/>
                <w:sz w:val="17"/>
              </w:rPr>
              <w:t>Administrative Accrual Engine (+1.25d/mo &amp; Annual Rollover)</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Extended Statutory Category Pack (Solo Parent, Maternity, Paternity, etc.)</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(Full Category Suite)</w:t>
            </w:r>
          </w:p>
        </w:tc>
      </w:tr>
      <w:tr>
        <w:tc>
          <w:tcPr>
            <w:tcW w:type="dxa" w:w="4896"/>
            <w:vAlign w:val="center"/>
            <w:tcMar>
              <w:top w:w="90" w:type="dxa"/>
              <w:bottom w:w="90" w:type="dxa"/>
              <w:left w:w="110" w:type="dxa"/>
              <w:right w:w="110" w:type="dxa"/>
            </w:tcMar>
            <w:shd w:fill="F8FAFC"/>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8FAFC"/>
          </w:tcPr>
          <w:p>
            <w:pPr>
              <w:spacing w:after="0"/>
              <w:jc w:val="center"/>
            </w:pPr>
            <w:r>
              <w:rPr>
                <w:sz w:val="17"/>
              </w:rPr>
              <w:t>60 Days Standard</w:t>
            </w:r>
          </w:p>
        </w:tc>
        <w:tc>
          <w:tcPr>
            <w:tcW w:type="dxa" w:w="2880"/>
            <w:vAlign w:val="center"/>
            <w:tcMar>
              <w:top w:w="90" w:type="dxa"/>
              <w:bottom w:w="90" w:type="dxa"/>
              <w:left w:w="110" w:type="dxa"/>
              <w:right w:w="110" w:type="dxa"/>
            </w:tcMar>
            <w:shd w:fill="F8FAFC"/>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CPA Practice Edition — ₱75,000 (The Live Working System)</w:t>
      </w:r>
    </w:p>
    <w:p>
      <w:pPr>
        <w:pStyle w:val="ListBullet"/>
        <w:spacing w:after="60"/>
      </w:pPr>
      <w:r>
        <w:rPr>
          <w:b/>
          <w:color w:val="1E293B"/>
          <w:sz w:val="19"/>
        </w:rPr>
        <w:t xml:space="preserve">5 Core Essential Leave Categories: </w:t>
      </w:r>
      <w:r>
        <w:rPr>
          <w:color w:val="1E293B"/>
          <w:sz w:val="19"/>
        </w:rPr>
        <w:t>Vacation Leave (VL), Sick Leave (SL), Emergency Leave, Bereavement Leave, and Leave Without Pay (LWOP).</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Clean Details Modal: </w:t>
      </w:r>
      <w:r>
        <w:rPr>
          <w:color w:val="1E293B"/>
          <w:sz w:val="19"/>
        </w:rPr>
        <w:t>Complete breakdown of employee, dates, duration,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Formatted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Year-End Unused Leave Cash Conversion Ledger: </w:t>
      </w:r>
      <w:r>
        <w:rPr>
          <w:color w:val="1E293B"/>
          <w:sz w:val="19"/>
        </w:rPr>
        <w:t>Real-time automated computation multiplying unconsumed leave credits by employee daily wage rates, providing Managing Partners with an instant calculation of annual cash liabilities.</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Immutable Enterprise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Automated Holiday &amp; Working Days Exclusion Engine: </w:t>
      </w:r>
      <w:r>
        <w:rPr>
          <w:color w:val="1E293B"/>
          <w:sz w:val="19"/>
        </w:rPr>
        <w:t>Automatically detects and excludes weekends and official statutory regular/special non-working holidays from leave deductions.</w:t>
      </w:r>
    </w:p>
    <w:p>
      <w:pPr>
        <w:pStyle w:val="ListBullet"/>
        <w:spacing w:after="60"/>
      </w:pPr>
      <w:r>
        <w:rPr>
          <w:b/>
          <w:color w:val="0F2744"/>
          <w:sz w:val="19"/>
        </w:rPr>
        <w:t xml:space="preserve">Peak Tax Season Advisory Engine: </w:t>
      </w:r>
      <w:r>
        <w:rPr>
          <w:color w:val="1E293B"/>
          <w:sz w:val="19"/>
        </w:rPr>
        <w:t>Visual blackout warning banner and partner clearance enforcement for leaves during the annual income tax return filing period (March 15 – April 15).</w:t>
      </w:r>
    </w:p>
    <w:p>
      <w:pPr>
        <w:pStyle w:val="ListBullet"/>
        <w:spacing w:after="60"/>
      </w:pPr>
      <w:r>
        <w:rPr>
          <w:b/>
          <w:color w:val="0F2744"/>
          <w:sz w:val="19"/>
        </w:rPr>
        <w:t xml:space="preserve">Administrative Accrual Engine: </w:t>
      </w:r>
      <w:r>
        <w:rPr>
          <w:color w:val="1E293B"/>
          <w:sz w:val="19"/>
        </w:rPr>
        <w:t>Automated monthly accrual rules (+1.25d VL monthly) and annual rollover configuration.</w:t>
      </w:r>
    </w:p>
    <w:p>
      <w:pPr>
        <w:pStyle w:val="ListBullet"/>
        <w:spacing w:after="60"/>
      </w:pPr>
      <w:r>
        <w:rPr>
          <w:b/>
          <w:color w:val="0F2744"/>
          <w:sz w:val="19"/>
        </w:rPr>
        <w:t xml:space="preserve">Extended Statutory Category Pack: </w:t>
      </w:r>
      <w:r>
        <w:rPr>
          <w:color w:val="1E293B"/>
          <w:sz w:val="19"/>
        </w:rPr>
        <w:t>Full configuration of Solo Parent Leave, Maternity Leave, Paternity Leave, Special Women Leave, VAWC Leave, and CPA Board Exam/CPD Study Leave.</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