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workforce scheduling, statutory leave compliance, and billable hour preservation during peak tax and audit deadlines are paramount. Manual tracking via paper forms or spreadsheets leads to unverified absences, lost billable hours, engagement coverage blindspots, and unexpected year-end cash liabilities under standard Service Incentive Leave (SIL) rules.</w:t>
        <w:br/>
        <w:br/>
        <w:t>This proposal presents two clear, tailored implementation packages for JTYeo CPA Accounting Office:</w:t>
      </w:r>
    </w:p>
    <w:p>
      <w:pPr>
        <w:pStyle w:val="ListBullet"/>
      </w:pPr>
      <w:r>
        <w:rPr>
          <w:b/>
          <w:color w:val="0F2744"/>
        </w:rPr>
        <w:t xml:space="preserve">Tier 1: Professional Edition (₱75,000) — </w:t>
      </w:r>
      <w:r>
        <w:t>Complete 5-category leave management, employee self-service balances, partner approval queue &amp; on-behalf filing, and clean leave details modal.</w:t>
      </w:r>
    </w:p>
    <w:p>
      <w:pPr>
        <w:pStyle w:val="ListBullet"/>
      </w:pPr>
      <w:r>
        <w:rPr>
          <w:b/>
          <w:color w:val="0284C7"/>
        </w:rPr>
        <w:t xml:space="preserve">Tier 2: Enterprise Suite (₱85,000) ⭐ Recommended Flagship — </w:t>
      </w:r>
      <w:r>
        <w:t>Everything in Tier 1 PLUS automated one-click payroll CSV export (JuanTax/Sprout/QuickBooks), Year-End Unused Leave Cash Conversion Ledger, Interactive Team Calendar, Medical Certificate Proof Viewer, immutable enterprise audit trails,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2880"/>
            <w:vAlign w:val="center"/>
            <w:tcMar>
              <w:top w:w="80" w:type="dxa"/>
              <w:bottom w:w="80" w:type="dxa"/>
              <w:left w:w="100" w:type="dxa"/>
              <w:right w:w="100" w:type="dxa"/>
            </w:tcMar>
            <w:shd w:fill="0F2744"/>
          </w:tcPr>
          <w:p>
            <w:pPr>
              <w:spacing w:after="0"/>
              <w:jc w:val="center"/>
            </w:pPr>
            <w:r>
              <w:rPr>
                <w:b/>
                <w:color w:val="FFFFFF"/>
                <w:sz w:val="19"/>
              </w:rPr>
              <w:t>System Capability</w:t>
            </w:r>
          </w:p>
        </w:tc>
        <w:tc>
          <w:tcPr>
            <w:tcW w:type="dxa" w:w="3600"/>
            <w:vAlign w:val="center"/>
            <w:tcMar>
              <w:top w:w="80" w:type="dxa"/>
              <w:bottom w:w="80" w:type="dxa"/>
              <w:left w:w="100" w:type="dxa"/>
              <w:right w:w="100" w:type="dxa"/>
            </w:tcMar>
            <w:shd w:fill="0F2744"/>
          </w:tcPr>
          <w:p>
            <w:pPr>
              <w:spacing w:after="0"/>
              <w:jc w:val="center"/>
            </w:pPr>
            <w:r>
              <w:rPr>
                <w:b/>
                <w:color w:val="FFFFFF"/>
                <w:sz w:val="19"/>
              </w:rPr>
              <w:t>Option 1: Professional Edition</w:t>
              <w:br/>
              <w:t>(₱75,000)</w:t>
            </w:r>
          </w:p>
        </w:tc>
        <w:tc>
          <w:tcPr>
            <w:tcW w:type="dxa" w:w="3888"/>
            <w:vAlign w:val="center"/>
            <w:tcMar>
              <w:top w:w="80" w:type="dxa"/>
              <w:bottom w:w="80" w:type="dxa"/>
              <w:left w:w="100" w:type="dxa"/>
              <w:right w:w="100" w:type="dxa"/>
            </w:tcMar>
            <w:shd w:fill="0F2744"/>
          </w:tcPr>
          <w:p>
            <w:pPr>
              <w:spacing w:after="0"/>
              <w:jc w:val="center"/>
            </w:pPr>
            <w:r>
              <w:rPr>
                <w:b/>
                <w:color w:val="FFFFFF"/>
                <w:sz w:val="19"/>
              </w:rPr>
              <w:t>Option 2: Enterprise Cloud Suite</w:t>
              <w:br/>
              <w:t>(₱85,000) 🏆</w:t>
            </w:r>
          </w:p>
        </w:tc>
      </w:tr>
      <w:tr>
        <w:tc>
          <w:tcPr>
            <w:tcW w:type="dxa" w:w="2880"/>
            <w:vAlign w:val="center"/>
            <w:tcMar>
              <w:top w:w="80" w:type="dxa"/>
              <w:bottom w:w="80" w:type="dxa"/>
              <w:left w:w="100" w:type="dxa"/>
              <w:right w:w="100" w:type="dxa"/>
            </w:tcMar>
            <w:shd w:fill="FFFFFF"/>
          </w:tcPr>
          <w:p>
            <w:pPr>
              <w:spacing w:after="0"/>
            </w:pPr>
            <w:r>
              <w:rPr>
                <w:b/>
                <w:color w:val="0F2744"/>
                <w:sz w:val="17"/>
              </w:rPr>
              <w:t>Leave Categories &amp; Policies</w:t>
            </w:r>
          </w:p>
        </w:tc>
        <w:tc>
          <w:tcPr>
            <w:tcW w:type="dxa" w:w="3600"/>
            <w:vAlign w:val="center"/>
            <w:tcMar>
              <w:top w:w="80" w:type="dxa"/>
              <w:bottom w:w="80" w:type="dxa"/>
              <w:left w:w="100" w:type="dxa"/>
              <w:right w:w="100" w:type="dxa"/>
            </w:tcMar>
            <w:shd w:fill="FFFFFF"/>
          </w:tcPr>
          <w:p>
            <w:pPr>
              <w:spacing w:after="0"/>
            </w:pPr>
            <w:r>
              <w:rPr>
                <w:color w:val="1E293B"/>
                <w:sz w:val="17"/>
              </w:rPr>
              <w:t>5 Core Categories (VL, SL, Emergency, Bereavement, LWOP)</w:t>
            </w:r>
          </w:p>
        </w:tc>
        <w:tc>
          <w:tcPr>
            <w:tcW w:type="dxa" w:w="3888"/>
            <w:vAlign w:val="center"/>
            <w:tcMar>
              <w:top w:w="80" w:type="dxa"/>
              <w:bottom w:w="80" w:type="dxa"/>
              <w:left w:w="100" w:type="dxa"/>
              <w:right w:w="100" w:type="dxa"/>
            </w:tcMar>
            <w:shd w:fill="F0FDF4"/>
          </w:tcPr>
          <w:p>
            <w:pPr>
              <w:spacing w:after="0"/>
            </w:pPr>
            <w:r>
              <w:rPr>
                <w:color w:val="1E293B"/>
                <w:sz w:val="17"/>
              </w:rPr>
              <w:t>Full 12 Statutory &amp; Firm Categories (Solo Parent, Maternity, Paternity, Special Women, VAWC, Study, etc.)</w:t>
            </w:r>
          </w:p>
        </w:tc>
      </w:tr>
      <w:tr>
        <w:tc>
          <w:tcPr>
            <w:tcW w:type="dxa" w:w="2880"/>
            <w:vAlign w:val="center"/>
            <w:tcMar>
              <w:top w:w="80" w:type="dxa"/>
              <w:bottom w:w="80" w:type="dxa"/>
              <w:left w:w="100" w:type="dxa"/>
              <w:right w:w="100" w:type="dxa"/>
            </w:tcMar>
            <w:shd w:fill="F8FAFC"/>
          </w:tcPr>
          <w:p>
            <w:pPr>
              <w:spacing w:after="0"/>
            </w:pPr>
            <w:r>
              <w:rPr>
                <w:b/>
                <w:color w:val="0F2744"/>
                <w:sz w:val="17"/>
              </w:rPr>
              <w:t>Payroll Processing</w:t>
            </w:r>
          </w:p>
        </w:tc>
        <w:tc>
          <w:tcPr>
            <w:tcW w:type="dxa" w:w="3600"/>
            <w:vAlign w:val="center"/>
            <w:tcMar>
              <w:top w:w="80" w:type="dxa"/>
              <w:bottom w:w="80" w:type="dxa"/>
              <w:left w:w="100" w:type="dxa"/>
              <w:right w:w="100" w:type="dxa"/>
            </w:tcMar>
            <w:shd w:fill="F8FAFC"/>
          </w:tcPr>
          <w:p>
            <w:pPr>
              <w:spacing w:after="0"/>
            </w:pPr>
            <w:r>
              <w:rPr>
                <w:color w:val="1E293B"/>
                <w:sz w:val="17"/>
              </w:rPr>
              <w:t>Standard Table View &amp; Manual Entry</w:t>
            </w:r>
          </w:p>
        </w:tc>
        <w:tc>
          <w:tcPr>
            <w:tcW w:type="dxa" w:w="3888"/>
            <w:vAlign w:val="center"/>
            <w:tcMar>
              <w:top w:w="80" w:type="dxa"/>
              <w:bottom w:w="80" w:type="dxa"/>
              <w:left w:w="100" w:type="dxa"/>
              <w:right w:w="100" w:type="dxa"/>
            </w:tcMar>
            <w:shd w:fill="F0FDF4"/>
          </w:tcPr>
          <w:p>
            <w:pPr>
              <w:spacing w:after="0"/>
            </w:pPr>
            <w:r>
              <w:rPr>
                <w:color w:val="1E293B"/>
                <w:sz w:val="17"/>
              </w:rPr>
              <w:t>Automated 1-Click Formatted Payroll CSV Export (JuanTax, Sprout Solutions, QuickBooks, Excel)</w:t>
            </w:r>
          </w:p>
        </w:tc>
      </w:tr>
      <w:tr>
        <w:tc>
          <w:tcPr>
            <w:tcW w:type="dxa" w:w="2880"/>
            <w:vAlign w:val="center"/>
            <w:tcMar>
              <w:top w:w="80" w:type="dxa"/>
              <w:bottom w:w="80" w:type="dxa"/>
              <w:left w:w="100" w:type="dxa"/>
              <w:right w:w="100" w:type="dxa"/>
            </w:tcMar>
            <w:shd w:fill="FFFFFF"/>
          </w:tcPr>
          <w:p>
            <w:pPr>
              <w:spacing w:after="0"/>
            </w:pPr>
            <w:r>
              <w:rPr>
                <w:b/>
                <w:color w:val="0F2744"/>
                <w:sz w:val="17"/>
              </w:rPr>
              <w:t>Annual Financial Liabilities</w:t>
            </w:r>
          </w:p>
        </w:tc>
        <w:tc>
          <w:tcPr>
            <w:tcW w:type="dxa" w:w="3600"/>
            <w:vAlign w:val="center"/>
            <w:tcMar>
              <w:top w:w="80" w:type="dxa"/>
              <w:bottom w:w="80" w:type="dxa"/>
              <w:left w:w="100" w:type="dxa"/>
              <w:right w:w="100" w:type="dxa"/>
            </w:tcMar>
            <w:shd w:fill="FFFFFF"/>
          </w:tcPr>
          <w:p>
            <w:pPr>
              <w:spacing w:after="0"/>
            </w:pPr>
            <w:r>
              <w:rPr>
                <w:color w:val="1E293B"/>
                <w:sz w:val="17"/>
              </w:rPr>
              <w:t>Manual Computation at Year-End</w:t>
            </w:r>
          </w:p>
        </w:tc>
        <w:tc>
          <w:tcPr>
            <w:tcW w:type="dxa" w:w="3888"/>
            <w:vAlign w:val="center"/>
            <w:tcMar>
              <w:top w:w="80" w:type="dxa"/>
              <w:bottom w:w="80" w:type="dxa"/>
              <w:left w:w="100" w:type="dxa"/>
              <w:right w:w="100" w:type="dxa"/>
            </w:tcMar>
            <w:shd w:fill="F0FDF4"/>
          </w:tcPr>
          <w:p>
            <w:pPr>
              <w:spacing w:after="0"/>
            </w:pPr>
            <w:r>
              <w:rPr>
                <w:color w:val="1E293B"/>
                <w:sz w:val="17"/>
              </w:rPr>
              <w:t>Automated Year-End Unused Leave Cash Conversion Ledger &amp; Reserve Liability Forecast</w:t>
            </w:r>
          </w:p>
        </w:tc>
      </w:tr>
      <w:tr>
        <w:tc>
          <w:tcPr>
            <w:tcW w:type="dxa" w:w="2880"/>
            <w:vAlign w:val="center"/>
            <w:tcMar>
              <w:top w:w="80" w:type="dxa"/>
              <w:bottom w:w="80" w:type="dxa"/>
              <w:left w:w="100" w:type="dxa"/>
              <w:right w:w="100" w:type="dxa"/>
            </w:tcMar>
            <w:shd w:fill="F8FAFC"/>
          </w:tcPr>
          <w:p>
            <w:pPr>
              <w:spacing w:after="0"/>
            </w:pPr>
            <w:r>
              <w:rPr>
                <w:b/>
                <w:color w:val="0F2744"/>
                <w:sz w:val="17"/>
              </w:rPr>
              <w:t>Workforce Scheduling</w:t>
            </w:r>
          </w:p>
        </w:tc>
        <w:tc>
          <w:tcPr>
            <w:tcW w:type="dxa" w:w="3600"/>
            <w:vAlign w:val="center"/>
            <w:tcMar>
              <w:top w:w="80" w:type="dxa"/>
              <w:bottom w:w="80" w:type="dxa"/>
              <w:left w:w="100" w:type="dxa"/>
              <w:right w:w="100" w:type="dxa"/>
            </w:tcMar>
            <w:shd w:fill="F8FAFC"/>
          </w:tcPr>
          <w:p>
            <w:pPr>
              <w:spacing w:after="0"/>
            </w:pPr>
            <w:r>
              <w:rPr>
                <w:color w:val="1E293B"/>
                <w:sz w:val="17"/>
              </w:rPr>
              <w:t>Standard List View by Department</w:t>
            </w:r>
          </w:p>
        </w:tc>
        <w:tc>
          <w:tcPr>
            <w:tcW w:type="dxa" w:w="3888"/>
            <w:vAlign w:val="center"/>
            <w:tcMar>
              <w:top w:w="80" w:type="dxa"/>
              <w:bottom w:w="80" w:type="dxa"/>
              <w:left w:w="100" w:type="dxa"/>
              <w:right w:w="100" w:type="dxa"/>
            </w:tcMar>
            <w:shd w:fill="F0FDF4"/>
          </w:tcPr>
          <w:p>
            <w:pPr>
              <w:spacing w:after="0"/>
            </w:pPr>
            <w:r>
              <w:rPr>
                <w:color w:val="1E293B"/>
                <w:sz w:val="17"/>
              </w:rPr>
              <w:t>Interactive Multi-Department Absence Calendar with Real-Time Availability Sync</w:t>
            </w:r>
          </w:p>
        </w:tc>
      </w:tr>
      <w:tr>
        <w:tc>
          <w:tcPr>
            <w:tcW w:type="dxa" w:w="2880"/>
            <w:vAlign w:val="center"/>
            <w:tcMar>
              <w:top w:w="80" w:type="dxa"/>
              <w:bottom w:w="80" w:type="dxa"/>
              <w:left w:w="100" w:type="dxa"/>
              <w:right w:w="100" w:type="dxa"/>
            </w:tcMar>
            <w:shd w:fill="FFFFFF"/>
          </w:tcPr>
          <w:p>
            <w:pPr>
              <w:spacing w:after="0"/>
            </w:pPr>
            <w:r>
              <w:rPr>
                <w:b/>
                <w:color w:val="0F2744"/>
                <w:sz w:val="17"/>
              </w:rPr>
              <w:t>Medical Proof Verification</w:t>
            </w:r>
          </w:p>
        </w:tc>
        <w:tc>
          <w:tcPr>
            <w:tcW w:type="dxa" w:w="3600"/>
            <w:vAlign w:val="center"/>
            <w:tcMar>
              <w:top w:w="80" w:type="dxa"/>
              <w:bottom w:w="80" w:type="dxa"/>
              <w:left w:w="100" w:type="dxa"/>
              <w:right w:w="100" w:type="dxa"/>
            </w:tcMar>
            <w:shd w:fill="FFFFFF"/>
          </w:tcPr>
          <w:p>
            <w:pPr>
              <w:spacing w:after="0"/>
            </w:pPr>
            <w:r>
              <w:rPr>
                <w:color w:val="1E293B"/>
                <w:sz w:val="17"/>
              </w:rPr>
              <w:t>Manual Physical Copy Verification</w:t>
            </w:r>
          </w:p>
        </w:tc>
        <w:tc>
          <w:tcPr>
            <w:tcW w:type="dxa" w:w="3888"/>
            <w:vAlign w:val="center"/>
            <w:tcMar>
              <w:top w:w="80" w:type="dxa"/>
              <w:bottom w:w="80" w:type="dxa"/>
              <w:left w:w="100" w:type="dxa"/>
              <w:right w:w="100" w:type="dxa"/>
            </w:tcMar>
            <w:shd w:fill="F0FDF4"/>
          </w:tcPr>
          <w:p>
            <w:pPr>
              <w:spacing w:after="0"/>
            </w:pPr>
            <w:r>
              <w:rPr>
                <w:color w:val="1E293B"/>
                <w:sz w:val="17"/>
              </w:rPr>
              <w:t>In-App Medical Certificate &amp; Document Proof Uploader &amp; 1-Click Viewer</w:t>
            </w:r>
          </w:p>
        </w:tc>
      </w:tr>
      <w:tr>
        <w:tc>
          <w:tcPr>
            <w:tcW w:type="dxa" w:w="2880"/>
            <w:vAlign w:val="center"/>
            <w:tcMar>
              <w:top w:w="80" w:type="dxa"/>
              <w:bottom w:w="80" w:type="dxa"/>
              <w:left w:w="100" w:type="dxa"/>
              <w:right w:w="100" w:type="dxa"/>
            </w:tcMar>
            <w:shd w:fill="F8FAFC"/>
          </w:tcPr>
          <w:p>
            <w:pPr>
              <w:spacing w:after="0"/>
            </w:pPr>
            <w:r>
              <w:rPr>
                <w:b/>
                <w:color w:val="0F2744"/>
                <w:sz w:val="17"/>
              </w:rPr>
              <w:t>Compliance &amp; Audit Trails</w:t>
            </w:r>
          </w:p>
        </w:tc>
        <w:tc>
          <w:tcPr>
            <w:tcW w:type="dxa" w:w="3600"/>
            <w:vAlign w:val="center"/>
            <w:tcMar>
              <w:top w:w="80" w:type="dxa"/>
              <w:bottom w:w="80" w:type="dxa"/>
              <w:left w:w="100" w:type="dxa"/>
              <w:right w:w="100" w:type="dxa"/>
            </w:tcMar>
            <w:shd w:fill="F8FAFC"/>
          </w:tcPr>
          <w:p>
            <w:pPr>
              <w:spacing w:after="0"/>
            </w:pPr>
            <w:r>
              <w:rPr>
                <w:color w:val="1E293B"/>
                <w:sz w:val="17"/>
              </w:rPr>
              <w:t>Standard Transaction Records</w:t>
            </w:r>
          </w:p>
        </w:tc>
        <w:tc>
          <w:tcPr>
            <w:tcW w:type="dxa" w:w="3888"/>
            <w:vAlign w:val="center"/>
            <w:tcMar>
              <w:top w:w="80" w:type="dxa"/>
              <w:bottom w:w="80" w:type="dxa"/>
              <w:left w:w="100" w:type="dxa"/>
              <w:right w:w="100" w:type="dxa"/>
            </w:tcMar>
            <w:shd w:fill="F0FDF4"/>
          </w:tcPr>
          <w:p>
            <w:pPr>
              <w:spacing w:after="0"/>
            </w:pPr>
            <w:r>
              <w:rPr>
                <w:color w:val="1E293B"/>
                <w:sz w:val="17"/>
              </w:rPr>
              <w:t>Immutable Enterprise Audit Trail with IP Tracking, User Identification, and Timestamps</w:t>
            </w:r>
          </w:p>
        </w:tc>
      </w:tr>
      <w:tr>
        <w:tc>
          <w:tcPr>
            <w:tcW w:type="dxa" w:w="2880"/>
            <w:vAlign w:val="center"/>
            <w:tcMar>
              <w:top w:w="80" w:type="dxa"/>
              <w:bottom w:w="80" w:type="dxa"/>
              <w:left w:w="100" w:type="dxa"/>
              <w:right w:w="100" w:type="dxa"/>
            </w:tcMar>
            <w:shd w:fill="FFFFFF"/>
          </w:tcPr>
          <w:p>
            <w:pPr>
              <w:spacing w:after="0"/>
            </w:pPr>
            <w:r>
              <w:rPr>
                <w:b/>
                <w:color w:val="0F2744"/>
                <w:sz w:val="17"/>
              </w:rPr>
              <w:t>System Notifications</w:t>
            </w:r>
          </w:p>
        </w:tc>
        <w:tc>
          <w:tcPr>
            <w:tcW w:type="dxa" w:w="3600"/>
            <w:vAlign w:val="center"/>
            <w:tcMar>
              <w:top w:w="80" w:type="dxa"/>
              <w:bottom w:w="80" w:type="dxa"/>
              <w:left w:w="100" w:type="dxa"/>
              <w:right w:w="100" w:type="dxa"/>
            </w:tcMar>
            <w:shd w:fill="FFFFFF"/>
          </w:tcPr>
          <w:p>
            <w:pPr>
              <w:spacing w:after="0"/>
            </w:pPr>
            <w:r>
              <w:rPr>
                <w:color w:val="1E293B"/>
                <w:sz w:val="17"/>
              </w:rPr>
              <w:t>In-App Dashboard Notifications</w:t>
            </w:r>
          </w:p>
        </w:tc>
        <w:tc>
          <w:tcPr>
            <w:tcW w:type="dxa" w:w="3888"/>
            <w:vAlign w:val="center"/>
            <w:tcMar>
              <w:top w:w="80" w:type="dxa"/>
              <w:bottom w:w="80" w:type="dxa"/>
              <w:left w:w="100" w:type="dxa"/>
              <w:right w:w="100" w:type="dxa"/>
            </w:tcMar>
            <w:shd w:fill="F0FDF4"/>
          </w:tcPr>
          <w:p>
            <w:pPr>
              <w:spacing w:after="0"/>
            </w:pPr>
            <w:r>
              <w:rPr>
                <w:color w:val="1E293B"/>
                <w:sz w:val="17"/>
              </w:rPr>
              <w:t>Automated Real-Time Transactional Email Alerts for Submissions, Approvals, and Rejections</w:t>
            </w:r>
          </w:p>
        </w:tc>
      </w:tr>
      <w:tr>
        <w:tc>
          <w:tcPr>
            <w:tcW w:type="dxa" w:w="2880"/>
            <w:vAlign w:val="center"/>
            <w:tcMar>
              <w:top w:w="80" w:type="dxa"/>
              <w:bottom w:w="80" w:type="dxa"/>
              <w:left w:w="100" w:type="dxa"/>
              <w:right w:w="100" w:type="dxa"/>
            </w:tcMar>
            <w:shd w:fill="F8FAFC"/>
          </w:tcPr>
          <w:p>
            <w:pPr>
              <w:spacing w:after="0"/>
            </w:pPr>
            <w:r>
              <w:rPr>
                <w:b/>
                <w:color w:val="0F2744"/>
                <w:sz w:val="17"/>
              </w:rPr>
              <w:t>Calendar &amp; Working Days</w:t>
            </w:r>
          </w:p>
        </w:tc>
        <w:tc>
          <w:tcPr>
            <w:tcW w:type="dxa" w:w="3600"/>
            <w:vAlign w:val="center"/>
            <w:tcMar>
              <w:top w:w="80" w:type="dxa"/>
              <w:bottom w:w="80" w:type="dxa"/>
              <w:left w:w="100" w:type="dxa"/>
              <w:right w:w="100" w:type="dxa"/>
            </w:tcMar>
            <w:shd w:fill="F8FAFC"/>
          </w:tcPr>
          <w:p>
            <w:pPr>
              <w:spacing w:after="0"/>
            </w:pPr>
            <w:r>
              <w:rPr>
                <w:color w:val="1E293B"/>
                <w:sz w:val="17"/>
              </w:rPr>
              <w:t>Standard Consecutive Calendar Days</w:t>
            </w:r>
          </w:p>
        </w:tc>
        <w:tc>
          <w:tcPr>
            <w:tcW w:type="dxa" w:w="3888"/>
            <w:vAlign w:val="center"/>
            <w:tcMar>
              <w:top w:w="80" w:type="dxa"/>
              <w:bottom w:w="80" w:type="dxa"/>
              <w:left w:w="100" w:type="dxa"/>
              <w:right w:w="100" w:type="dxa"/>
            </w:tcMar>
            <w:shd w:fill="F0FDF4"/>
          </w:tcPr>
          <w:p>
            <w:pPr>
              <w:spacing w:after="0"/>
            </w:pPr>
            <w:r>
              <w:rPr>
                <w:color w:val="1E293B"/>
                <w:sz w:val="17"/>
              </w:rPr>
              <w:t>Automated Intelligence Engine (Auto-Excludes Weekends &amp; Official Regular/Special Holidays)</w:t>
            </w:r>
          </w:p>
        </w:tc>
      </w:tr>
      <w:tr>
        <w:tc>
          <w:tcPr>
            <w:tcW w:type="dxa" w:w="2880"/>
            <w:vAlign w:val="center"/>
            <w:tcMar>
              <w:top w:w="80" w:type="dxa"/>
              <w:bottom w:w="80" w:type="dxa"/>
              <w:left w:w="100" w:type="dxa"/>
              <w:right w:w="100" w:type="dxa"/>
            </w:tcMar>
            <w:shd w:fill="FFFFFF"/>
          </w:tcPr>
          <w:p>
            <w:pPr>
              <w:spacing w:after="0"/>
            </w:pPr>
            <w:r>
              <w:rPr>
                <w:b/>
                <w:color w:val="0F2744"/>
                <w:sz w:val="17"/>
              </w:rPr>
              <w:t>Peak Tax Season Governance</w:t>
            </w:r>
          </w:p>
        </w:tc>
        <w:tc>
          <w:tcPr>
            <w:tcW w:type="dxa" w:w="3600"/>
            <w:vAlign w:val="center"/>
            <w:tcMar>
              <w:top w:w="80" w:type="dxa"/>
              <w:bottom w:w="80" w:type="dxa"/>
              <w:left w:w="100" w:type="dxa"/>
              <w:right w:w="100" w:type="dxa"/>
            </w:tcMar>
            <w:shd w:fill="FFFFFF"/>
          </w:tcPr>
          <w:p>
            <w:pPr>
              <w:spacing w:after="0"/>
            </w:pPr>
            <w:r>
              <w:rPr>
                <w:color w:val="1E293B"/>
                <w:sz w:val="17"/>
              </w:rPr>
              <w:t>Standard Partner Review</w:t>
            </w:r>
          </w:p>
        </w:tc>
        <w:tc>
          <w:tcPr>
            <w:tcW w:type="dxa" w:w="3888"/>
            <w:vAlign w:val="center"/>
            <w:tcMar>
              <w:top w:w="80" w:type="dxa"/>
              <w:bottom w:w="80" w:type="dxa"/>
              <w:left w:w="100" w:type="dxa"/>
              <w:right w:w="100" w:type="dxa"/>
            </w:tcMar>
            <w:shd w:fill="F0FDF4"/>
          </w:tcPr>
          <w:p>
            <w:pPr>
              <w:spacing w:after="0"/>
            </w:pPr>
            <w:r>
              <w:rPr>
                <w:color w:val="1E293B"/>
                <w:sz w:val="17"/>
              </w:rPr>
              <w:t>Automated Peak Tax Season Blackout Warning &amp; Engagement Clearance Advisory Engine</w:t>
            </w:r>
          </w:p>
        </w:tc>
      </w:tr>
      <w:tr>
        <w:tc>
          <w:tcPr>
            <w:tcW w:type="dxa" w:w="2880"/>
            <w:vAlign w:val="center"/>
            <w:tcMar>
              <w:top w:w="80" w:type="dxa"/>
              <w:bottom w:w="80" w:type="dxa"/>
              <w:left w:w="100" w:type="dxa"/>
              <w:right w:w="100" w:type="dxa"/>
            </w:tcMar>
            <w:shd w:fill="F8FAFC"/>
          </w:tcPr>
          <w:p>
            <w:pPr>
              <w:spacing w:after="0"/>
            </w:pPr>
            <w:r>
              <w:rPr>
                <w:b/>
                <w:color w:val="0F2744"/>
                <w:sz w:val="17"/>
              </w:rPr>
              <w:t>Credit Accrual &amp; Rollover</w:t>
            </w:r>
          </w:p>
        </w:tc>
        <w:tc>
          <w:tcPr>
            <w:tcW w:type="dxa" w:w="3600"/>
            <w:vAlign w:val="center"/>
            <w:tcMar>
              <w:top w:w="80" w:type="dxa"/>
              <w:bottom w:w="80" w:type="dxa"/>
              <w:left w:w="100" w:type="dxa"/>
              <w:right w:w="100" w:type="dxa"/>
            </w:tcMar>
            <w:shd w:fill="F8FAFC"/>
          </w:tcPr>
          <w:p>
            <w:pPr>
              <w:spacing w:after="0"/>
            </w:pPr>
            <w:r>
              <w:rPr>
                <w:color w:val="1E293B"/>
                <w:sz w:val="17"/>
              </w:rPr>
              <w:t>Manual Periodic Adjustments</w:t>
            </w:r>
          </w:p>
        </w:tc>
        <w:tc>
          <w:tcPr>
            <w:tcW w:type="dxa" w:w="3888"/>
            <w:vAlign w:val="center"/>
            <w:tcMar>
              <w:top w:w="80" w:type="dxa"/>
              <w:bottom w:w="80" w:type="dxa"/>
              <w:left w:w="100" w:type="dxa"/>
              <w:right w:w="100" w:type="dxa"/>
            </w:tcMar>
            <w:shd w:fill="F0FDF4"/>
          </w:tcPr>
          <w:p>
            <w:pPr>
              <w:spacing w:after="0"/>
            </w:pPr>
            <w:r>
              <w:rPr>
                <w:color w:val="1E293B"/>
                <w:sz w:val="17"/>
              </w:rPr>
              <w:t>Automated Monthly Accruals (+1.25d/mo) &amp; Annual Fiscal Year Rollover Engine</w:t>
            </w:r>
          </w:p>
        </w:tc>
      </w:tr>
      <w:tr>
        <w:tc>
          <w:tcPr>
            <w:tcW w:type="dxa" w:w="2880"/>
            <w:vAlign w:val="center"/>
            <w:tcMar>
              <w:top w:w="80" w:type="dxa"/>
              <w:bottom w:w="80" w:type="dxa"/>
              <w:left w:w="100" w:type="dxa"/>
              <w:right w:w="100" w:type="dxa"/>
            </w:tcMar>
            <w:shd w:fill="FFFFFF"/>
          </w:tcPr>
          <w:p>
            <w:pPr>
              <w:spacing w:after="0"/>
            </w:pPr>
            <w:r>
              <w:rPr>
                <w:b/>
                <w:color w:val="0F2744"/>
                <w:sz w:val="17"/>
              </w:rPr>
              <w:t>Warranty &amp; SLA Support</w:t>
            </w:r>
          </w:p>
        </w:tc>
        <w:tc>
          <w:tcPr>
            <w:tcW w:type="dxa" w:w="3600"/>
            <w:vAlign w:val="center"/>
            <w:tcMar>
              <w:top w:w="80" w:type="dxa"/>
              <w:bottom w:w="80" w:type="dxa"/>
              <w:left w:w="100" w:type="dxa"/>
              <w:right w:w="100" w:type="dxa"/>
            </w:tcMar>
            <w:shd w:fill="FFFFFF"/>
          </w:tcPr>
          <w:p>
            <w:pPr>
              <w:spacing w:after="0"/>
            </w:pPr>
            <w:r>
              <w:rPr>
                <w:color w:val="1E293B"/>
                <w:sz w:val="17"/>
              </w:rPr>
              <w:t>60 Days Standard Maintenance Support</w:t>
            </w:r>
          </w:p>
        </w:tc>
        <w:tc>
          <w:tcPr>
            <w:tcW w:type="dxa" w:w="3888"/>
            <w:vAlign w:val="center"/>
            <w:tcMar>
              <w:top w:w="80" w:type="dxa"/>
              <w:bottom w:w="80" w:type="dxa"/>
              <w:left w:w="100" w:type="dxa"/>
              <w:right w:w="100" w:type="dxa"/>
            </w:tcMar>
            <w:shd w:fill="F0FDF4"/>
          </w:tcPr>
          <w:p>
            <w:pPr>
              <w:spacing w:after="0"/>
            </w:pPr>
            <w:r>
              <w:rPr>
                <w:color w:val="1E293B"/>
                <w:sz w:val="17"/>
              </w:rPr>
              <w:t>3 Months Priority SLA Support + Live Staff Onboarding &amp; Training Session</w:t>
            </w:r>
          </w:p>
        </w:tc>
      </w:tr>
    </w:tbl>
    <w:p>
      <w:pPr>
        <w:spacing w:after="240"/>
      </w:pPr>
    </w:p>
    <w:p>
      <w:r>
        <w:rPr>
          <w:b/>
          <w:color w:val="0F2744"/>
          <w:sz w:val="28"/>
        </w:rPr>
        <w:t>3. Detailed Package Breakdown</w:t>
      </w:r>
    </w:p>
    <w:p>
      <w:r>
        <w:rPr>
          <w:b/>
          <w:color w:val="0F2744"/>
          <w:sz w:val="23"/>
        </w:rPr>
        <w:t>🥈 Tier 1: Professional Edition — ₱75,000</w:t>
      </w:r>
    </w:p>
    <w:p>
      <w:pPr>
        <w:pStyle w:val="ListBullet"/>
        <w:spacing w:after="60"/>
      </w:pPr>
      <w:r>
        <w:rPr>
          <w:b/>
          <w:color w:val="1E293B"/>
          <w:sz w:val="19"/>
        </w:rPr>
        <w:t xml:space="preserve">5 Core Essential Leave Categories: </w:t>
      </w:r>
      <w:r>
        <w:rPr>
          <w:color w:val="1E293B"/>
          <w:sz w:val="19"/>
        </w:rPr>
        <w:t>Vacation Leave (VL), Sick Leave (SL), Emergency Leave, Bereavement Leave, and Leave Without Pay (LWOP).</w:t>
      </w:r>
    </w:p>
    <w:p>
      <w:pPr>
        <w:pStyle w:val="ListBullet"/>
        <w:spacing w:after="60"/>
      </w:pPr>
      <w:r>
        <w:rPr>
          <w:b/>
          <w:color w:val="1E293B"/>
          <w:sz w:val="19"/>
        </w:rPr>
        <w:t xml:space="preserve">Employee Self-Service Portal: </w:t>
      </w:r>
      <w:r>
        <w:rPr>
          <w:color w:val="1E293B"/>
          <w:sz w:val="19"/>
        </w:rPr>
        <w:t>Real-time personal balance summary cards, leave filing form, and historical status ledger.</w:t>
      </w:r>
    </w:p>
    <w:p>
      <w:pPr>
        <w:pStyle w:val="ListBullet"/>
        <w:spacing w:after="60"/>
      </w:pPr>
      <w:r>
        <w:rPr>
          <w:b/>
          <w:color w:val="1E293B"/>
          <w:sz w:val="19"/>
        </w:rPr>
        <w:t xml:space="preserve">Managing Partner Governance: </w:t>
      </w:r>
      <w:r>
        <w:rPr>
          <w:color w:val="1E293B"/>
          <w:sz w:val="19"/>
        </w:rPr>
        <w:t>Executive portal with live approval queue, engagement note documentation, and capability to file leaves on behalf of any associate.</w:t>
      </w:r>
    </w:p>
    <w:p>
      <w:pPr>
        <w:pStyle w:val="ListBullet"/>
        <w:spacing w:after="60"/>
      </w:pPr>
      <w:r>
        <w:rPr>
          <w:b/>
          <w:color w:val="1E293B"/>
          <w:sz w:val="19"/>
        </w:rPr>
        <w:t xml:space="preserve">Clean Details Modal: </w:t>
      </w:r>
      <w:r>
        <w:rPr>
          <w:color w:val="1E293B"/>
          <w:sz w:val="19"/>
        </w:rPr>
        <w:t>Complete breakdown of employee, dates, duration, reason notes, and partner approval status.</w:t>
      </w:r>
    </w:p>
    <w:p>
      <w:pPr>
        <w:pStyle w:val="ListBullet"/>
        <w:spacing w:after="60"/>
      </w:pPr>
      <w:r>
        <w:rPr>
          <w:b/>
          <w:color w:val="1E293B"/>
          <w:sz w:val="19"/>
        </w:rPr>
        <w:t xml:space="preserve">Warranty: </w:t>
      </w:r>
      <w:r>
        <w:rPr>
          <w:color w:val="1E293B"/>
          <w:sz w:val="19"/>
        </w:rPr>
        <w:t>60 Days standard bug fix warranty and system maintenance.</w:t>
      </w:r>
    </w:p>
    <w:p>
      <w:pPr>
        <w:spacing w:after="80"/>
      </w:pPr>
    </w:p>
    <w:p>
      <w:r>
        <w:rPr>
          <w:b/>
          <w:color w:val="0284C7"/>
          <w:sz w:val="23"/>
        </w:rPr>
        <w:t>🥇 Tier 2: Enterprise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Automated Formatted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Year-End Unused Leave Cash Conversion Ledger: </w:t>
      </w:r>
      <w:r>
        <w:rPr>
          <w:color w:val="1E293B"/>
          <w:sz w:val="19"/>
        </w:rPr>
        <w:t>Real-time automated computation multiplying unconsumed leave credits by employee daily wage rates, providing Managing Partners with an instant calculation of annual cash liabilities.</w:t>
      </w:r>
    </w:p>
    <w:p>
      <w:pPr>
        <w:pStyle w:val="ListBullet"/>
        <w:spacing w:after="60"/>
      </w:pPr>
      <w:r>
        <w:rPr>
          <w:b/>
          <w:color w:val="0F2744"/>
          <w:sz w:val="19"/>
        </w:rPr>
        <w:t xml:space="preserve">Interactive Multi-Department Absence Calendar: </w:t>
      </w:r>
      <w:r>
        <w:rPr>
          <w:color w:val="1E293B"/>
          <w:sz w:val="19"/>
        </w:rPr>
        <w:t>Visual monthly schedule showing team availability and planned absences to prevent engagement understaffing during client audits.</w:t>
      </w:r>
    </w:p>
    <w:p>
      <w:pPr>
        <w:pStyle w:val="ListBullet"/>
        <w:spacing w:after="60"/>
      </w:pPr>
      <w:r>
        <w:rPr>
          <w:b/>
          <w:color w:val="0F2744"/>
          <w:sz w:val="19"/>
        </w:rPr>
        <w:t xml:space="preserve">Medical Certificate &amp; Document Proof Engine: </w:t>
      </w:r>
      <w:r>
        <w:rPr>
          <w:color w:val="1E293B"/>
          <w:sz w:val="19"/>
        </w:rPr>
        <w:t>Staff can attach physician notes, CPD seminar slips, and death certificates with 1-click in-app viewing.</w:t>
      </w:r>
    </w:p>
    <w:p>
      <w:pPr>
        <w:pStyle w:val="ListBullet"/>
        <w:spacing w:after="60"/>
      </w:pPr>
      <w:r>
        <w:rPr>
          <w:b/>
          <w:color w:val="0F2744"/>
          <w:sz w:val="19"/>
        </w:rPr>
        <w:t xml:space="preserve">Immutable Enterprise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Automated Holiday &amp; Working Days Exclusion Engine: </w:t>
      </w:r>
      <w:r>
        <w:rPr>
          <w:color w:val="1E293B"/>
          <w:sz w:val="19"/>
        </w:rPr>
        <w:t>Automatically detects and excludes weekends and official statutory regular/special non-working holidays from leave deductions.</w:t>
      </w:r>
    </w:p>
    <w:p>
      <w:pPr>
        <w:pStyle w:val="ListBullet"/>
        <w:spacing w:after="60"/>
      </w:pPr>
      <w:r>
        <w:rPr>
          <w:b/>
          <w:color w:val="0F2744"/>
          <w:sz w:val="19"/>
        </w:rPr>
        <w:t xml:space="preserve">Peak Tax Season Advisory Engine: </w:t>
      </w:r>
      <w:r>
        <w:rPr>
          <w:color w:val="1E293B"/>
          <w:sz w:val="19"/>
        </w:rPr>
        <w:t>Visual blackout warning banner and partner clearance enforcement for leaves during the annual income tax return filing period (March 15 – April 15).</w:t>
      </w:r>
    </w:p>
    <w:p>
      <w:pPr>
        <w:pStyle w:val="ListBullet"/>
        <w:spacing w:after="60"/>
      </w:pPr>
      <w:r>
        <w:rPr>
          <w:b/>
          <w:color w:val="0F2744"/>
          <w:sz w:val="19"/>
        </w:rPr>
        <w:t xml:space="preserve">Administrative Accrual Engine: </w:t>
      </w:r>
      <w:r>
        <w:rPr>
          <w:color w:val="1E293B"/>
          <w:sz w:val="19"/>
        </w:rPr>
        <w:t>Automated monthly accrual rules (+1.25d VL monthly) and annual rollover configuration.</w:t>
      </w:r>
    </w:p>
    <w:p>
      <w:pPr>
        <w:pStyle w:val="ListBullet"/>
        <w:spacing w:after="60"/>
      </w:pPr>
      <w:r>
        <w:rPr>
          <w:b/>
          <w:color w:val="0F2744"/>
          <w:sz w:val="19"/>
        </w:rPr>
        <w:t xml:space="preserve">Extended Statutory Category Pack: </w:t>
      </w:r>
      <w:r>
        <w:rPr>
          <w:color w:val="1E293B"/>
          <w:sz w:val="19"/>
        </w:rPr>
        <w:t>Full configuration of Solo Parent Leave, Maternity Leave, Paternity Leave, Special Women Leave, VAWC Leave, and CPA Board Exam/CPD Study Leave.</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