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in the Philippines, workforce scheduling, statutory DOLE labor compliance, and billable hour preservation during peak BIR tax and audit seasons are paramount. Manual tracking via paper forms or spreadsheets leads to unverified absences, lost billable hours, engagement coverage blindspots, and unexpected year-end cash liabilities under DOLE Service Incentive Leave (SIL) rules.</w:t>
        <w:br/>
        <w:br/>
        <w:t>This proposal presents two clear, tailored implementation packages for JTYeo CPA Accounting Office:</w:t>
      </w:r>
    </w:p>
    <w:p>
      <w:pPr>
        <w:pStyle w:val="ListBullet"/>
      </w:pPr>
      <w:r>
        <w:rPr>
          <w:b/>
          <w:color w:val="0F2744"/>
        </w:rPr>
        <w:t xml:space="preserve">Tier 1: Professional CPA Practice Edition (₱75,000) — </w:t>
      </w:r>
      <w:r>
        <w:t>Complete 12-category leave management, staff self-service, partner approval queue &amp; on-behalf filing, working days calculator, peak tax season blackout alerts, and detailed status modal.</w:t>
      </w:r>
    </w:p>
    <w:p>
      <w:pPr>
        <w:pStyle w:val="ListBullet"/>
      </w:pPr>
      <w:r>
        <w:rPr>
          <w:b/>
          <w:color w:val="0284C7"/>
        </w:rPr>
        <w:t xml:space="preserve">Tier 2: Enterprise Practice Cloud Suite (₱85,000) ⭐ Recommended Flagship — </w:t>
      </w:r>
      <w:r>
        <w:t>Everything in Tier 1 PLUS Interactive Team Calendar, Medical Certificate Proof Viewer, automated one-click payroll CSV export (JuanTax/Sprout/QuickBooks), Year-End SIL Cash Monetization Liability Ledger (DOLE Art. 95), immutable IP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 Edition</w:t>
              <w:br/>
              <w:t>(₱75,000)</w:t>
              <w:br/>
              <w:t>[The Live System]</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br/>
              <w:t>[Target Flagship]</w:t>
            </w:r>
          </w:p>
        </w:tc>
      </w:tr>
      <w:tr>
        <w:tc>
          <w:tcPr>
            <w:tcW w:type="dxa" w:w="4896"/>
            <w:vAlign w:val="center"/>
            <w:tcMar>
              <w:top w:w="90" w:type="dxa"/>
              <w:bottom w:w="90" w:type="dxa"/>
              <w:left w:w="110" w:type="dxa"/>
              <w:right w:w="110" w:type="dxa"/>
            </w:tcMar>
            <w:shd w:fill="FFFFFF"/>
          </w:tcPr>
          <w:p>
            <w:pPr>
              <w:spacing w:after="0"/>
            </w:pPr>
            <w:r>
              <w:rPr>
                <w:color w:val="1E293B"/>
                <w:sz w:val="17"/>
              </w:rPr>
              <w:t>12 Philippine Statutory &amp; CPA Categories (SIL, VL, SL, CPD Study, Solo Parent, etc.)</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Staff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Approval &amp; Decision Review Queue</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Managing Partner Filing On Behalf of Any Employee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Peak BIR Tax Season (March 15 - April 15) Blackout Warnings</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Philippine Holiday &amp; Working Days Automatic Exclusions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Clean Leave Application Details &amp; Partner Status Modal</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Interactive Multi-Department Absence Calendar &amp; Schedule Sync</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(Visual Schedule)</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Doctor's Proof Upload &amp; In-App Viewer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(Verification Engine)</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Year-End SIL Cash Monetization Ledger &amp; Reserve Calculator (DOLE Art. 95)</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Immutable BIR-Ready Audit Trail with Client IP Tracking</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FFFFF"/>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Administrative Accrual Engine (+1.25d/mo &amp; Annual SIL Reset)</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FFFFF"/>
          </w:tcPr>
          <w:p>
            <w:pPr>
              <w:spacing w:after="0"/>
              <w:jc w:val="center"/>
            </w:pPr>
            <w:r>
              <w:rPr>
                <w:sz w:val="17"/>
              </w:rPr>
              <w:t>60 Days Standard</w:t>
            </w:r>
          </w:p>
        </w:tc>
        <w:tc>
          <w:tcPr>
            <w:tcW w:type="dxa" w:w="2880"/>
            <w:vAlign w:val="center"/>
            <w:tcMar>
              <w:top w:w="90" w:type="dxa"/>
              <w:bottom w:w="90" w:type="dxa"/>
              <w:left w:w="110" w:type="dxa"/>
              <w:right w:w="110" w:type="dxa"/>
            </w:tcMar>
            <w:shd w:fill="FFFFFF"/>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CPA Practice Edition — ₱75,000 (The Live Working System)</w:t>
      </w:r>
    </w:p>
    <w:p>
      <w:pPr>
        <w:pStyle w:val="ListBullet"/>
        <w:spacing w:after="60"/>
      </w:pPr>
      <w:r>
        <w:rPr>
          <w:b/>
          <w:color w:val="1E293B"/>
          <w:sz w:val="19"/>
        </w:rPr>
        <w:t xml:space="preserve">Complete Statutory DOLE Categories: </w:t>
      </w:r>
      <w:r>
        <w:rPr>
          <w:color w:val="1E293B"/>
          <w:sz w:val="19"/>
        </w:rPr>
        <w:t>Service Incentive Leave (5 days), Vacation Leave, Sick Leave, Solo Parent (RA 8972/11861), Maternity (RA 11210), Paternity (RA 8187), Magna Carta of Women (RA 9710), VAWC (RA 9262), Bereavement, Emergency, and CPA Board Exam/CPD Study Leave.</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Peak Tax Season Warnings: </w:t>
      </w:r>
      <w:r>
        <w:rPr>
          <w:color w:val="1E293B"/>
          <w:sz w:val="19"/>
        </w:rPr>
        <w:t>Automated visual alert banner for any leave requested during the peak BIR ITR filing period (March 15 to April 15).</w:t>
      </w:r>
    </w:p>
    <w:p>
      <w:pPr>
        <w:pStyle w:val="ListBullet"/>
        <w:spacing w:after="60"/>
      </w:pPr>
      <w:r>
        <w:rPr>
          <w:b/>
          <w:color w:val="1E293B"/>
          <w:sz w:val="19"/>
        </w:rPr>
        <w:t xml:space="preserve">Philippine Holiday Working Days Engine: </w:t>
      </w:r>
      <w:r>
        <w:rPr>
          <w:color w:val="1E293B"/>
          <w:sz w:val="19"/>
        </w:rPr>
        <w:t>Automatic calendar calculation excluding weekends and official regular/special non-working holidays.</w:t>
      </w:r>
    </w:p>
    <w:p>
      <w:pPr>
        <w:pStyle w:val="ListBullet"/>
        <w:spacing w:after="60"/>
      </w:pPr>
      <w:r>
        <w:rPr>
          <w:b/>
          <w:color w:val="1E293B"/>
          <w:sz w:val="19"/>
        </w:rPr>
        <w:t xml:space="preserve">Clean Details Modal: </w:t>
      </w:r>
      <w:r>
        <w:rPr>
          <w:color w:val="1E293B"/>
          <w:sz w:val="19"/>
        </w:rPr>
        <w:t>Complete breakdown of employee, dates, working days,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Year-End DOLE SIL Cash Monetization Ledger: </w:t>
      </w:r>
      <w:r>
        <w:rPr>
          <w:color w:val="1E293B"/>
          <w:sz w:val="19"/>
        </w:rPr>
        <w:t>Real-time automated computation multiplying unconsumed SIL credits by employee daily wage rates, providing Managing Partners with an instant calculation of annual cash liabilities required under DOLE Art. 95.</w:t>
      </w:r>
    </w:p>
    <w:p>
      <w:pPr>
        <w:pStyle w:val="ListBullet"/>
        <w:spacing w:after="60"/>
      </w:pPr>
      <w:r>
        <w:rPr>
          <w:b/>
          <w:color w:val="0F2744"/>
          <w:sz w:val="19"/>
        </w:rPr>
        <w:t xml:space="preserve">Automated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Immutable BIR-Ready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Administrative Accrual Engine: </w:t>
      </w:r>
      <w:r>
        <w:rPr>
          <w:color w:val="1E293B"/>
          <w:sz w:val="19"/>
        </w:rPr>
        <w:t>Automated monthly accrual rules (+1.25d VL monthly) and annual 5.0d SIL rollover configuration.</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