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64"/>
      </w:pPr>
      <w:r>
        <w:rPr>
          <w:b/>
          <w:bCs/>
          <w:sz w:val="30"/>
          <w:szCs w:val="30"/>
        </w:rPr>
        <w:t xml:space="preserve">CORRIGÉ ET BARÈME — Interro TP1 « Application console &amp; POO »</w:t>
      </w:r>
    </w:p>
    <w:p>
      <w:pPr>
        <w:spacing w:after="200" w:line="264"/>
      </w:pPr>
      <w:r>
        <w:rPr>
          <w:color w:val="555555"/>
          <w:sz w:val="19"/>
          <w:szCs w:val="19"/>
        </w:rPr>
        <w:t xml:space="preserve">Document enseignant · BTS SIO 2ᵉ année SLAM · noté sur 20 · deux versions A et B</w:t>
      </w:r>
    </w:p>
    <w:p>
      <w:pPr>
        <w:spacing w:after="60" w:line="264"/>
      </w:pPr>
      <w:r>
        <w:rPr>
          <w:b/>
          <w:bCs/>
          <w:sz w:val="19"/>
          <w:szCs w:val="19"/>
        </w:rPr>
        <w:t xml:space="preserve">Deux versions pour deux rangs voisins.</w:t>
      </w:r>
    </w:p>
    <w:p>
      <w:pPr>
        <w:spacing w:after="160" w:line="264"/>
      </w:pPr>
      <w:r>
        <w:rPr>
          <w:sz w:val="19"/>
          <w:szCs w:val="19"/>
        </w:rPr>
        <w:t xml:space="preserve">Les cinq exercices sont les mêmes, les données et les cibles changent. Le barème est identique point pour point : la correction reste une seule grille, lue dans deux colonnes. Si vous ne voulez qu'un sujet, n'imprimez que les deux premières pages — la version A se suffit.</w:t>
      </w:r>
    </w:p>
    <w:p>
      <w:pPr>
        <w:spacing w:after="60" w:line="264"/>
      </w:pPr>
      <w:r>
        <w:rPr>
          <w:b/>
          <w:bCs/>
          <w:sz w:val="19"/>
          <w:szCs w:val="19"/>
        </w:rPr>
        <w:t xml:space="preserve">Principe de notation.</w:t>
      </w:r>
    </w:p>
    <w:p>
      <w:pPr>
        <w:spacing w:after="200" w:line="264"/>
      </w:pPr>
      <w:r>
        <w:rPr>
          <w:sz w:val="19"/>
          <w:szCs w:val="19"/>
        </w:rPr>
        <w:t xml:space="preserve">Un mot juste mal orthographié reste juste : on teste la notion, pas la dictée. Un nom de méthode C# mal orthographié, en revanche, ne compile pas — il est faux. Les demi-points existent ; on ne descend pas en dessous.</w:t>
      </w:r>
    </w:p>
    <w:p>
      <w:pPr>
        <w:spacing w:after="120" w:before="300" w:line="264"/>
      </w:pPr>
      <w:r>
        <w:rPr>
          <w:b/>
          <w:bCs/>
          <w:sz w:val="24"/>
          <w:szCs w:val="24"/>
        </w:rPr>
        <w:t xml:space="preserve">EXERCICE 1 — Le mot juste · 5 points (1 point par item)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699"/>
        <w:gridCol w:w="2699"/>
        <w:gridCol w:w="2217"/>
        <w:gridCol w:w="1541"/>
      </w:tblGrid>
      <w:tr>
        <w:trPr>
          <w:tblHeader/>
        </w:trP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Version A — attendu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Version B — attendu</w:t>
            </w:r>
          </w:p>
        </w:tc>
        <w:tc>
          <w:tcPr>
            <w:tcW w:type="dxa" w:w="221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Aussi accepté</w:t>
            </w:r>
          </w:p>
        </w:tc>
        <w:tc>
          <w:tcPr>
            <w:tcW w:type="dxa" w:w="154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Refusé</w:t>
            </w:r>
          </w:p>
        </w:tc>
      </w:tr>
      <w:t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objet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classe</w:t>
            </w:r>
          </w:p>
        </w:tc>
        <w:tc>
          <w:tcPr>
            <w:tcW w:type="dxa" w:w="221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 : instance</w:t>
            </w:r>
          </w:p>
        </w:tc>
        <w:tc>
          <w:tcPr>
            <w:tcW w:type="dxa" w:w="154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 : classe · B : objet</w:t>
            </w:r>
          </w:p>
        </w:tc>
      </w:tr>
      <w:t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encapsulation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encapsulation</w:t>
            </w:r>
          </w:p>
        </w:tc>
        <w:tc>
          <w:tcPr>
            <w:tcW w:type="dxa" w:w="221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54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héritage, abstraction, « protection »</w:t>
            </w:r>
          </w:p>
        </w:tc>
      </w:tr>
      <w:t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méthode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propriétés</w:t>
            </w:r>
          </w:p>
        </w:tc>
        <w:tc>
          <w:tcPr>
            <w:tcW w:type="dxa" w:w="221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0,5 pt : A « fonction » · B « attributs »</w:t>
            </w:r>
          </w:p>
        </w:tc>
        <w:tc>
          <w:tcPr>
            <w:tcW w:type="dxa" w:w="154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 : propriété · B : méthodes</w:t>
            </w:r>
          </w:p>
        </w:tc>
      </w:tr>
      <w:t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lambda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lambda</w:t>
            </w:r>
          </w:p>
        </w:tc>
        <w:tc>
          <w:tcPr>
            <w:tcW w:type="dxa" w:w="221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« expression lambda »</w:t>
            </w:r>
          </w:p>
        </w:tc>
        <w:tc>
          <w:tcPr>
            <w:tcW w:type="dxa" w:w="154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condition, comparaison, opérateur</w:t>
            </w:r>
          </w:p>
        </w:tc>
      </w:tr>
      <w:t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Dictionary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</w:t>
            </w:r>
          </w:p>
        </w:tc>
        <w:tc>
          <w:tcPr>
            <w:tcW w:type="dxa" w:w="221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dictionnaire · liste · avec les chevrons</w:t>
            </w:r>
          </w:p>
        </w:tc>
        <w:tc>
          <w:tcPr>
            <w:tcW w:type="dxa" w:w="154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l'inverse de l'attendu</w:t>
            </w:r>
          </w:p>
        </w:tc>
      </w:tr>
    </w:tbl>
    <w:p>
      <w:pPr>
        <w:spacing w:after="120" w:before="300" w:line="264"/>
      </w:pPr>
      <w:r>
        <w:rPr>
          <w:b/>
          <w:bCs/>
          <w:sz w:val="24"/>
          <w:szCs w:val="24"/>
        </w:rPr>
        <w:t xml:space="preserve">EXERCICE 2 — List ou Dictionary ? · 4 points</w:t>
      </w:r>
    </w:p>
    <w:p>
      <w:pPr>
        <w:spacing w:after="120" w:line="264"/>
      </w:pPr>
      <w:r>
        <w:rPr>
          <w:i/>
          <w:iCs/>
          <w:sz w:val="19"/>
          <w:szCs w:val="19"/>
        </w:rPr>
        <w:t xml:space="preserve">0,5 point pour le choix, 0,5 point pour la justification. La justification vaut ses 0,5 seulement si elle nomme la propriété en jeu : « c'est plus rapide » ne la nomme pas.</w:t>
      </w:r>
    </w:p>
    <w:p>
      <w:pPr>
        <w:spacing w:after="100" w:before="240" w:line="264"/>
      </w:pPr>
      <w:r>
        <w:rPr>
          <w:b/>
          <w:bCs/>
          <w:sz w:val="21"/>
          <w:szCs w:val="21"/>
        </w:rPr>
        <w:t xml:space="preserve">Version 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3470"/>
        <w:gridCol w:w="1349"/>
        <w:gridCol w:w="4337"/>
      </w:tblGrid>
      <w:tr>
        <w:trPr>
          <w:tblHeader/>
        </w:trP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47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La situation</w:t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Choix</w:t>
            </w:r>
          </w:p>
        </w:tc>
        <w:tc>
          <w:tcPr>
            <w:tcW w:type="dxa" w:w="433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Justification attendue</w:t>
            </w:r>
          </w:p>
        </w:tc>
      </w:tr>
      <w:t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type="dxa" w:w="347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L'ordre des chansons est conservé</w:t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</w:t>
            </w:r>
          </w:p>
        </w:tc>
        <w:tc>
          <w:tcPr>
            <w:tcW w:type="dxa" w:w="433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Elle conserve l'ordre d'insertion</w:t>
            </w:r>
          </w:p>
        </w:tc>
      </w:tr>
      <w:t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347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Retrouver par Id sans parcourir</w:t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Dictionary</w:t>
            </w:r>
          </w:p>
        </w:tc>
        <w:tc>
          <w:tcPr>
            <w:tcW w:type="dxa" w:w="433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La clé mène droit à la valeur, sans parcours</w:t>
            </w:r>
          </w:p>
        </w:tc>
      </w:tr>
      <w:t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347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Compter les chansons par genre</w:t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Dictionary</w:t>
            </w:r>
          </w:p>
        </w:tc>
        <w:tc>
          <w:tcPr>
            <w:tcW w:type="dxa" w:w="433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Le genre est la clé, le compteur la valeur</w:t>
            </w:r>
          </w:p>
        </w:tc>
      </w:tr>
      <w:t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type="dxa" w:w="347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La même chanson peut figurer deux fois</w:t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</w:t>
            </w:r>
          </w:p>
        </w:tc>
        <w:tc>
          <w:tcPr>
            <w:tcW w:type="dxa" w:w="433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Elle accepte les doublons</w:t>
            </w:r>
          </w:p>
        </w:tc>
      </w:tr>
    </w:tbl>
    <w:p>
      <w:pPr>
        <w:spacing w:after="100" w:before="240" w:line="264"/>
      </w:pPr>
      <w:r>
        <w:rPr>
          <w:b/>
          <w:bCs/>
          <w:sz w:val="21"/>
          <w:szCs w:val="21"/>
        </w:rPr>
        <w:t xml:space="preserve">Version 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3470"/>
        <w:gridCol w:w="1349"/>
        <w:gridCol w:w="4337"/>
      </w:tblGrid>
      <w:tr>
        <w:trPr>
          <w:tblHeader/>
        </w:trP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47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La situation</w:t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Choix</w:t>
            </w:r>
          </w:p>
        </w:tc>
        <w:tc>
          <w:tcPr>
            <w:tcW w:type="dxa" w:w="433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Justification attendue</w:t>
            </w:r>
          </w:p>
        </w:tc>
      </w:tr>
      <w:t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type="dxa" w:w="347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Retrouver un adhérent par son numéro de carte</w:t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Dictionary</w:t>
            </w:r>
          </w:p>
        </w:tc>
        <w:tc>
          <w:tcPr>
            <w:tcW w:type="dxa" w:w="433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Le numéro est une clé unique : accès direct</w:t>
            </w:r>
          </w:p>
        </w:tc>
      </w:tr>
      <w:t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347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L'ordre de passage des morceaux</w:t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</w:t>
            </w:r>
          </w:p>
        </w:tc>
        <w:tc>
          <w:tcPr>
            <w:tcW w:type="dxa" w:w="433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L'ordre compte, et la List le garantit</w:t>
            </w:r>
          </w:p>
        </w:tc>
      </w:tr>
      <w:t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347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Nombre de chansons par artiste</w:t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Dictionary</w:t>
            </w:r>
          </w:p>
        </w:tc>
        <w:tc>
          <w:tcPr>
            <w:tcW w:type="dxa" w:w="433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L'artiste est la clé, le nombre la valeur</w:t>
            </w:r>
          </w:p>
        </w:tc>
      </w:tr>
      <w:t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type="dxa" w:w="347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La même personne peut revenir</w:t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</w:t>
            </w:r>
          </w:p>
        </w:tc>
        <w:tc>
          <w:tcPr>
            <w:tcW w:type="dxa" w:w="433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Elle accepte les doublons</w:t>
            </w:r>
          </w:p>
        </w:tc>
      </w:tr>
    </w:tbl>
    <w:p>
      <w:r>
        <w:br w:type="page"/>
      </w:r>
    </w:p>
    <w:p>
      <w:pPr>
        <w:spacing w:after="120" w:before="300" w:line="264"/>
      </w:pPr>
      <w:r>
        <w:rPr>
          <w:b/>
          <w:bCs/>
          <w:sz w:val="24"/>
          <w:szCs w:val="24"/>
        </w:rPr>
        <w:t xml:space="preserve">EXERCICE 3 — Écrire la requête · 3 points (1 point par ligne)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4578"/>
        <w:gridCol w:w="4578"/>
      </w:tblGrid>
      <w:tr>
        <w:trPr>
          <w:tblHeader/>
        </w:trP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57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Version A</w:t>
            </w:r>
          </w:p>
        </w:tc>
        <w:tc>
          <w:tcPr>
            <w:tcW w:type="dxa" w:w="457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Version B</w:t>
            </w:r>
          </w:p>
        </w:tc>
      </w:tr>
      <w:t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type="dxa" w:w="457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chansons.Where(c =&gt; c.Genre == "Jazz")</w:t>
            </w:r>
          </w:p>
        </w:tc>
        <w:tc>
          <w:tcPr>
            <w:tcW w:type="dxa" w:w="457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chansons.Where(c =&gt; c.Note == 5)</w:t>
            </w:r>
          </w:p>
        </w:tc>
      </w:tr>
      <w:t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457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chansons.OrderByDescending(c =&gt; c.DureeSecondes)</w:t>
            </w:r>
          </w:p>
        </w:tc>
        <w:tc>
          <w:tcPr>
            <w:tcW w:type="dxa" w:w="457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chansons.OrderBy(c =&gt; c.Artiste)</w:t>
            </w:r>
          </w:p>
        </w:tc>
      </w:tr>
      <w:tr>
        <w:tc>
          <w:tcPr>
            <w:tcW w:type="dxa" w:w="48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457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chansons.OrderByDescending(c =&gt; c.Note).Take(3)</w:t>
            </w:r>
          </w:p>
        </w:tc>
        <w:tc>
          <w:tcPr>
            <w:tcW w:type="dxa" w:w="457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chansons.OrderBy(c =&gt; c.DureeSecondes).Take(3)</w:t>
            </w:r>
          </w:p>
        </w:tc>
      </w:tr>
    </w:tbl>
    <w:p>
      <w:pPr>
        <w:spacing w:after="80" w:line="264"/>
      </w:pPr>
      <w:r>
        <w:rPr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9"/>
        <w:gridCol w:w="2699"/>
      </w:tblGrid>
      <w:tr>
        <w:trPr>
          <w:tblHeader/>
        </w:trPr>
        <w:tc>
          <w:tcPr>
            <w:tcW w:type="dxa" w:w="693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Ce qu'on trouve sur les copies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Points</w:t>
            </w:r>
          </w:p>
        </w:tc>
      </w:tr>
      <w:tr>
        <w:tc>
          <w:tcPr>
            <w:tcW w:type="dxa" w:w="693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Le bon opérateur LINQ sur la bonne propriété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93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.ToList() ajouté à la fin, ou une autre lettre que c pour la lambda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1 — sans retrait</w:t>
            </w:r>
          </w:p>
        </w:tc>
      </w:tr>
      <w:tr>
        <w:tc>
          <w:tcPr>
            <w:tcW w:type="dxa" w:w="693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Le bon opérateur, mais la mauvaise propriété, ou le tri à l'envers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0,5</w:t>
            </w:r>
          </w:p>
        </w:tc>
      </w:tr>
      <w:tr>
        <w:tc>
          <w:tcPr>
            <w:tcW w:type="dxa" w:w="693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Une boucle for qui donne le bon résultat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0,5 — la question demandait LINQ</w:t>
            </w:r>
          </w:p>
        </w:tc>
      </w:tr>
      <w:tr>
        <w:tc>
          <w:tcPr>
            <w:tcW w:type="dxa" w:w="693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Where au lieu de OrderBy, ou l'inverse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pPr>
        <w:spacing w:after="120" w:before="300" w:line="264"/>
      </w:pPr>
      <w:r>
        <w:rPr>
          <w:b/>
          <w:bCs/>
          <w:sz w:val="24"/>
          <w:szCs w:val="24"/>
        </w:rPr>
        <w:t xml:space="preserve">EXERCICE 4 — Qu'affiche ce programme ? · 5 points (1 point par ligne)</w:t>
      </w:r>
    </w:p>
    <w:p>
      <w:pPr>
        <w:spacing w:after="120" w:line="264"/>
      </w:pPr>
      <w:r>
        <w:rPr>
          <w:i/>
          <w:iCs/>
          <w:sz w:val="19"/>
          <w:szCs w:val="19"/>
        </w:rPr>
        <w:t xml:space="preserve">Sorties vérifiées en exécutant réellement les deux programmes sur .NET.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4144"/>
        <w:gridCol w:w="4145"/>
      </w:tblGrid>
      <w:tr>
        <w:trPr>
          <w:tblHeader/>
        </w:trPr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Ligne</w:t>
            </w:r>
          </w:p>
        </w:tc>
        <w:tc>
          <w:tcPr>
            <w:tcW w:type="dxa" w:w="414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Version A</w:t>
            </w:r>
          </w:p>
        </w:tc>
        <w:tc>
          <w:tcPr>
            <w:tcW w:type="dxa" w:w="414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Version B</w:t>
            </w:r>
          </w:p>
        </w:tc>
      </w:tr>
      <w:tr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14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Yesterday</w:t>
            </w:r>
          </w:p>
        </w:tc>
        <w:tc>
          <w:tcPr>
            <w:tcW w:type="dxa" w:w="414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Averse</w:t>
            </w:r>
          </w:p>
        </w:tc>
      </w:tr>
      <w:tr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14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414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14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Yesterday</w:t>
            </w:r>
          </w:p>
        </w:tc>
        <w:tc>
          <w:tcPr>
            <w:tcW w:type="dxa" w:w="414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Averse</w:t>
            </w:r>
          </w:p>
        </w:tc>
      </w:tr>
      <w:tr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14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Imagine</w:t>
            </w:r>
          </w:p>
        </w:tc>
        <w:tc>
          <w:tcPr>
            <w:tcW w:type="dxa" w:w="414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Nuit blanche</w:t>
            </w:r>
          </w:p>
        </w:tc>
      </w:tr>
      <w:tr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14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414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</w:tr>
    </w:tbl>
    <w:p>
      <w:pPr>
        <w:spacing w:after="80" w:line="264"/>
      </w:pPr>
      <w:r>
        <w:rPr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9"/>
        <w:gridCol w:w="2699"/>
      </w:tblGrid>
      <w:tr>
        <w:trPr>
          <w:tblHeader/>
        </w:trPr>
        <w:tc>
          <w:tcPr>
            <w:tcW w:type="dxa" w:w="693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Ce qu'on trouve sur les copies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Points</w:t>
            </w:r>
          </w:p>
        </w:tc>
      </w:tr>
      <w:tr>
        <w:tc>
          <w:tcPr>
            <w:tcW w:type="dxa" w:w="693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Ligne 5 écrite « false » / « true » en minuscules, ou « faux » / « vrai »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1 — sans retrait</w:t>
            </w:r>
          </w:p>
        </w:tc>
      </w:tr>
      <w:tr>
        <w:tc>
          <w:tcPr>
            <w:tcW w:type="dxa" w:w="693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Lignes 3 et 4 justes mais inversées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1 pour les deux — le tri était le fond de la question</w:t>
            </w:r>
          </w:p>
        </w:tc>
      </w:tr>
      <w:tr>
        <w:tc>
          <w:tcPr>
            <w:tcW w:type="dxa" w:w="693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Un titre reconnaissable mais mal orthographié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1 — sans retrait</w:t>
            </w:r>
          </w:p>
        </w:tc>
      </w:tr>
      <w:tr>
        <w:tc>
          <w:tcPr>
            <w:tcW w:type="dxa" w:w="693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Ligne 2 : le nombre de chansons au lieu du compte demandé</w:t>
            </w:r>
          </w:p>
        </w:tc>
        <w:tc>
          <w:tcPr>
            <w:tcW w:type="dxa" w:w="269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pPr>
        <w:spacing w:after="100" w:before="120" w:line="264"/>
      </w:pPr>
      <w:r>
        <w:rPr>
          <w:i/>
          <w:iCs/>
          <w:sz w:val="19"/>
          <w:szCs w:val="19"/>
        </w:rPr>
        <w:t xml:space="preserve">Le piège de la ligne 1 : l'étudiant doit comprendre que parId[2] (version A) et parId[9] (version B) désignent une clé, pas une position. Celui qui répond « Hey Joe » en A a lu la ligne 2 de la liste au lieu de la clé 2 — c'est exactement la confusion que le TP1 cherche à lever.</w:t>
      </w:r>
    </w:p>
    <w:p>
      <w:r>
        <w:br w:type="page"/>
      </w:r>
    </w:p>
    <w:p>
      <w:pPr>
        <w:spacing w:after="120" w:before="300" w:line="264"/>
      </w:pPr>
      <w:r>
        <w:rPr>
          <w:b/>
          <w:bCs/>
          <w:sz w:val="24"/>
          <w:szCs w:val="24"/>
        </w:rPr>
        <w:t xml:space="preserve">EXERCICE 5 — Le défaut d'encapsulation · 3 points</w:t>
      </w:r>
    </w:p>
    <w:p>
      <w:pPr>
        <w:spacing w:after="100" w:before="240" w:line="264"/>
      </w:pPr>
      <w:r>
        <w:rPr>
          <w:b/>
          <w:bCs/>
          <w:sz w:val="21"/>
          <w:szCs w:val="21"/>
        </w:rPr>
        <w:t xml:space="preserve">a) Ce que le code extérieur peut faire et ne devrait pas · 1 point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Version A — Playlist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Version B — Bibliotheque</w:t>
            </w:r>
          </w:p>
        </w:tc>
      </w:tr>
      <w:tr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playlist.Chansons.Add(c) · .Clear() · .RemoveAt(0) : on modifie la collection sans passer par aucune méthode de la classe.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biblio.Chansons[3] = uneAutreChanson · .Clear() · .Remove(7) : on range une chanson sous n'importe quelle clé.</w:t>
            </w:r>
          </w:p>
        </w:tc>
      </w:tr>
    </w:tbl>
    <w:p>
      <w:pPr>
        <w:spacing w:after="140" w:line="264"/>
      </w:pPr>
      <w:r>
        <w:rPr>
          <w:i/>
          <w:iCs/>
          <w:sz w:val="19"/>
          <w:szCs w:val="19"/>
        </w:rPr>
        <w:t xml:space="preserve">1 point : un exemple concret de manipulation directe. 0,5 point : « le champ est public » sans dire ce que cela permet — c'est le constat, pas la conséquence.</w:t>
      </w:r>
    </w:p>
    <w:p>
      <w:pPr>
        <w:spacing w:after="100" w:before="240" w:line="264"/>
      </w:pPr>
      <w:r>
        <w:rPr>
          <w:b/>
          <w:bCs/>
          <w:sz w:val="21"/>
          <w:szCs w:val="21"/>
        </w:rPr>
        <w:t xml:space="preserve">b) Réécrire pour protéger · 1 point (0,5 + 0,5)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Version A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Version B</w:t>
            </w:r>
          </w:p>
        </w:tc>
      </w:tr>
      <w:tr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private List&lt;Chanson&gt; _chansons = new List&lt;Chanson&gt;();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private Dictionary&lt;int, Chanson&gt; _chansons = new Dictionary&lt;int, Chanson&gt;();</w:t>
            </w:r>
          </w:p>
        </w:tc>
      </w:tr>
      <w:tr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public IReadOnlyList&lt;Chanson&gt; Chansons =&gt; _chansons.AsReadOnly();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public IReadOnlyDictionary&lt;int, Chanson&gt; Chansons =&gt; _chansons;</w:t>
            </w:r>
          </w:p>
        </w:tc>
      </w:tr>
    </w:tbl>
    <w:p>
      <w:pPr>
        <w:spacing w:after="140" w:line="264"/>
      </w:pPr>
      <w:r>
        <w:rPr>
          <w:i/>
          <w:iCs/>
          <w:sz w:val="19"/>
          <w:szCs w:val="19"/>
        </w:rPr>
        <w:t xml:space="preserve">0,5 point pour le champ passé en private. 0,5 point pour une exposition en lecture seule, quelle qu'en soit la forme exacte : IReadOnlyList, IReadOnlyCollection, IReadOnlyDictionary, ou même une méthode publique de lecture. L'exactitude du type n'est pas l'enjeu — la fiche concept ne montre que IReadOnlyList.</w:t>
      </w:r>
    </w:p>
    <w:p>
      <w:pPr>
        <w:spacing w:after="100" w:before="240" w:line="264"/>
      </w:pPr>
      <w:r>
        <w:rPr>
          <w:b/>
          <w:bCs/>
          <w:sz w:val="21"/>
          <w:szCs w:val="21"/>
        </w:rPr>
        <w:t xml:space="preserve">c) La règle métier perdue · 1 point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Version A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Version B</w:t>
            </w:r>
          </w:p>
        </w:tc>
      </w:tr>
      <w:tr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« Pas deux fois la même chanson dans une playlist » — ou toute règle vérifiée au moment de l'ajout.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« La clé est toujours l'Id de la chanson qu'elle range » — ou « pas deux chansons sous le même Id ».</w:t>
            </w:r>
          </w:p>
        </w:tc>
      </w:tr>
    </w:tbl>
    <w:p>
      <w:pPr>
        <w:spacing w:after="200" w:line="264"/>
      </w:pPr>
      <w:r>
        <w:rPr>
          <w:i/>
          <w:iCs/>
          <w:sz w:val="19"/>
          <w:szCs w:val="19"/>
        </w:rPr>
        <w:t xml:space="preserve">Accepté : toute règle qui devrait être vérifiée à l'insertion. Refusé : « on peut lire les données » — lire n'a jamais été le problème.</w:t>
      </w:r>
    </w:p>
    <w:p>
      <w:pPr>
        <w:spacing w:after="120" w:before="300" w:line="264"/>
      </w:pPr>
      <w:r>
        <w:rPr>
          <w:b/>
          <w:bCs/>
          <w:sz w:val="24"/>
          <w:szCs w:val="24"/>
        </w:rPr>
        <w:t xml:space="preserve">Récapitulatif — report des 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4819"/>
        <w:gridCol w:w="1928"/>
        <w:gridCol w:w="1927"/>
      </w:tblGrid>
      <w:tr>
        <w:trPr>
          <w:tblHeader/>
        </w:trPr>
        <w:tc>
          <w:tcPr>
            <w:tcW w:type="dxa" w:w="96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Exo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Ce qu'il mesure</w:t>
            </w:r>
          </w:p>
        </w:tc>
        <w:tc>
          <w:tcPr>
            <w:tcW w:type="dxa" w:w="192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Découpage</w:t>
            </w:r>
          </w:p>
        </w:tc>
        <w:tc>
          <w:tcPr>
            <w:tcW w:type="dxa" w:w="192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Sur</w:t>
            </w:r>
          </w:p>
        </w:tc>
      </w:tr>
      <w:tr>
        <w:tc>
          <w:tcPr>
            <w:tcW w:type="dxa" w:w="96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Le vocabulaire de la POO et des collections</w:t>
            </w:r>
          </w:p>
        </w:tc>
        <w:tc>
          <w:tcPr>
            <w:tcW w:type="dxa" w:w="192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5 × 1 pt</w:t>
            </w:r>
          </w:p>
        </w:tc>
        <w:tc>
          <w:tcPr>
            <w:tcW w:type="dxa" w:w="192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96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Choisir une structure de données et le justifier</w:t>
            </w:r>
          </w:p>
        </w:tc>
        <w:tc>
          <w:tcPr>
            <w:tcW w:type="dxa" w:w="192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4 × (0,5 + 0,5)</w:t>
            </w:r>
          </w:p>
        </w:tc>
        <w:tc>
          <w:tcPr>
            <w:tcW w:type="dxa" w:w="192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6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Écrire une requête LINQ</w:t>
            </w:r>
          </w:p>
        </w:tc>
        <w:tc>
          <w:tcPr>
            <w:tcW w:type="dxa" w:w="192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3 × 1 pt</w:t>
            </w:r>
          </w:p>
        </w:tc>
        <w:tc>
          <w:tcPr>
            <w:tcW w:type="dxa" w:w="192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96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Lire du code et prévoir ce qu'il produit</w:t>
            </w:r>
          </w:p>
        </w:tc>
        <w:tc>
          <w:tcPr>
            <w:tcW w:type="dxa" w:w="192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5 × 1 pt</w:t>
            </w:r>
          </w:p>
        </w:tc>
        <w:tc>
          <w:tcPr>
            <w:tcW w:type="dxa" w:w="192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96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Reconnaître un défaut d'encapsulation et le corriger</w:t>
            </w:r>
          </w:p>
        </w:tc>
        <w:tc>
          <w:tcPr>
            <w:tcW w:type="dxa" w:w="192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3 × 1 pt</w:t>
            </w:r>
          </w:p>
        </w:tc>
        <w:tc>
          <w:tcPr>
            <w:tcW w:type="dxa" w:w="192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96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</w:t>
            </w:r>
          </w:p>
        </w:tc>
        <w:tc>
          <w:tcPr>
            <w:tcW w:type="dxa" w:w="192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</w:tbl>
    <w:p>
      <w:pPr>
        <w:spacing w:after="120" w:before="300" w:line="264"/>
      </w:pPr>
      <w:r>
        <w:rPr>
          <w:b/>
          <w:bCs/>
          <w:sz w:val="24"/>
          <w:szCs w:val="24"/>
        </w:rPr>
        <w:t xml:space="preserve">Ce que le questionnaire de préparation a annoncé</w:t>
      </w:r>
    </w:p>
    <w:p>
      <w:pPr>
        <w:spacing w:after="120" w:line="264"/>
      </w:pPr>
      <w:r>
        <w:rPr>
          <w:sz w:val="19"/>
          <w:szCs w:val="19"/>
        </w:rPr>
        <w:t xml:space="preserve">Le contrôle d'acquis posé dans le portail avant l'interro porte huit notions. Chacune se retrouve dans un exercice : comparer les deux mesures dit ce que la séance a changé, et surtout qui se croyait sûr et s'est trompé.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5590"/>
        <w:gridCol w:w="2891"/>
      </w:tblGrid>
      <w:tr>
        <w:trPr>
          <w:tblHeader/>
        </w:trPr>
        <w:tc>
          <w:tcPr>
            <w:tcW w:type="dxa" w:w="11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Notion</w:t>
            </w:r>
          </w:p>
        </w:tc>
        <w:tc>
          <w:tcPr>
            <w:tcW w:type="dxa" w:w="559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Ce qu'elle demande</w:t>
            </w:r>
          </w:p>
        </w:tc>
        <w:tc>
          <w:tcPr>
            <w:tcW w:type="dxa" w:w="289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Reprise dans</w:t>
            </w:r>
          </w:p>
        </w:tc>
      </w:tr>
      <w:tr>
        <w:tc>
          <w:tcPr>
            <w:tcW w:type="dxa" w:w="11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pre-01</w:t>
            </w:r>
          </w:p>
        </w:tc>
        <w:tc>
          <w:tcPr>
            <w:tcW w:type="dxa" w:w="559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Classe et objet</w:t>
            </w:r>
          </w:p>
        </w:tc>
        <w:tc>
          <w:tcPr>
            <w:tcW w:type="dxa" w:w="289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Exercice 1, item 1</w:t>
            </w:r>
          </w:p>
        </w:tc>
      </w:tr>
      <w:tr>
        <w:tc>
          <w:tcPr>
            <w:tcW w:type="dxa" w:w="11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pre-02</w:t>
            </w:r>
          </w:p>
        </w:tc>
        <w:tc>
          <w:tcPr>
            <w:tcW w:type="dxa" w:w="559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Pourquoi _chansons est privé</w:t>
            </w:r>
          </w:p>
        </w:tc>
        <w:tc>
          <w:tcPr>
            <w:tcW w:type="dxa" w:w="289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Exercice 5</w:t>
            </w:r>
          </w:p>
        </w:tc>
      </w:tr>
      <w:tr>
        <w:tc>
          <w:tcPr>
            <w:tcW w:type="dxa" w:w="11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pre-03</w:t>
            </w:r>
          </w:p>
        </w:tc>
        <w:tc>
          <w:tcPr>
            <w:tcW w:type="dxa" w:w="559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Ce que change IReadOnlyList</w:t>
            </w:r>
          </w:p>
        </w:tc>
        <w:tc>
          <w:tcPr>
            <w:tcW w:type="dxa" w:w="289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Exercice 5 b</w:t>
            </w:r>
          </w:p>
        </w:tc>
      </w:tr>
      <w:tr>
        <w:tc>
          <w:tcPr>
            <w:tcW w:type="dxa" w:w="11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pre-04</w:t>
            </w:r>
          </w:p>
        </w:tc>
        <w:tc>
          <w:tcPr>
            <w:tcW w:type="dxa" w:w="559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Méthode ou propriété</w:t>
            </w:r>
          </w:p>
        </w:tc>
        <w:tc>
          <w:tcPr>
            <w:tcW w:type="dxa" w:w="289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Exercice 1, item 3</w:t>
            </w:r>
          </w:p>
        </w:tc>
      </w:tr>
      <w:tr>
        <w:tc>
          <w:tcPr>
            <w:tcW w:type="dxa" w:w="11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pre-05</w:t>
            </w:r>
          </w:p>
        </w:tc>
        <w:tc>
          <w:tcPr>
            <w:tcW w:type="dxa" w:w="559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Retrouver par Id sans parcourir</w:t>
            </w:r>
          </w:p>
        </w:tc>
        <w:tc>
          <w:tcPr>
            <w:tcW w:type="dxa" w:w="289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Exercice 2 b · Exercice 4, ligne 1</w:t>
            </w:r>
          </w:p>
        </w:tc>
      </w:tr>
      <w:tr>
        <w:tc>
          <w:tcPr>
            <w:tcW w:type="dxa" w:w="11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pre-06</w:t>
            </w:r>
          </w:p>
        </w:tc>
        <w:tc>
          <w:tcPr>
            <w:tcW w:type="dxa" w:w="559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Ce qu'une List garantit</w:t>
            </w:r>
          </w:p>
        </w:tc>
        <w:tc>
          <w:tcPr>
            <w:tcW w:type="dxa" w:w="289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Exercice 2 a et d</w:t>
            </w:r>
          </w:p>
        </w:tc>
      </w:tr>
      <w:tr>
        <w:tc>
          <w:tcPr>
            <w:tcW w:type="dxa" w:w="11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pre-07</w:t>
            </w:r>
          </w:p>
        </w:tc>
        <w:tc>
          <w:tcPr>
            <w:tcW w:type="dxa" w:w="559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L'expression lambda</w:t>
            </w:r>
          </w:p>
        </w:tc>
        <w:tc>
          <w:tcPr>
            <w:tcW w:type="dxa" w:w="289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Exercice 1, item 4</w:t>
            </w:r>
          </w:p>
        </w:tc>
      </w:tr>
      <w:tr>
        <w:tc>
          <w:tcPr>
            <w:tcW w:type="dxa" w:w="11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pre-08</w:t>
            </w:r>
          </w:p>
        </w:tc>
        <w:tc>
          <w:tcPr>
            <w:tcW w:type="dxa" w:w="559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Une chaîne LINQ filtrer-trier-couper</w:t>
            </w:r>
          </w:p>
        </w:tc>
        <w:tc>
          <w:tcPr>
            <w:tcW w:type="dxa" w:w="289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Exercice 3 c · Exercice 4, lignes 3 et 4</w:t>
            </w:r>
          </w:p>
        </w:tc>
      </w:tr>
    </w:tbl>
    <w:p>
      <w:pPr>
        <w:spacing w:after="120" w:before="300" w:line="264"/>
      </w:pPr>
      <w:r>
        <w:rPr>
          <w:b/>
          <w:bCs/>
          <w:sz w:val="24"/>
          <w:szCs w:val="24"/>
        </w:rPr>
        <w:t xml:space="preserve">Correction assistée à partir des scans</w:t>
      </w:r>
    </w:p>
    <w:p>
      <w:pPr>
        <w:spacing w:after="120" w:line="264"/>
      </w:pPr>
      <w:r>
        <w:rPr>
          <w:sz w:val="19"/>
          <w:szCs w:val="19"/>
        </w:rPr>
        <w:t xml:space="preserve">Scanner les copies en un seul PDF, puis le déposer avec ce document. Trois précisions qui évitent les erreurs de lecture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Point de vigilance</w:t>
            </w:r>
          </w:p>
        </w:tc>
        <w:tc>
          <w:tcPr>
            <w:tcW w:type="dxa" w:w="655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6"/>
                <w:szCs w:val="16"/>
              </w:rPr>
              <w:t xml:space="preserve">La consigne à donner</w:t>
            </w:r>
          </w:p>
        </w:tc>
      </w:tr>
      <w:tr>
        <w:tc>
          <w:tcPr>
            <w:tcW w:type="dxa" w:w="308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La version</w:t>
            </w:r>
          </w:p>
        </w:tc>
        <w:tc>
          <w:tcPr>
            <w:tcW w:type="dxa" w:w="655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Elle est écrite en gros dans la case SUJET de l'en-tête. Corriger une copie B avec la grille A donne un zéro incompréhensible.</w:t>
            </w:r>
          </w:p>
        </w:tc>
      </w:tr>
      <w:tr>
        <w:tc>
          <w:tcPr>
            <w:tcW w:type="dxa" w:w="308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Le code manuscrit</w:t>
            </w:r>
          </w:p>
        </w:tc>
        <w:tc>
          <w:tcPr>
            <w:tcW w:type="dxa" w:w="655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Ne pas trancher sur une majuscule douteuse : signaler le doute plutôt que compter faux.</w:t>
            </w:r>
          </w:p>
        </w:tc>
      </w:tr>
      <w:tr>
        <w:tc>
          <w:tcPr>
            <w:tcW w:type="dxa" w:w="308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L'exercice 4</w:t>
            </w:r>
          </w:p>
        </w:tc>
        <w:tc>
          <w:tcPr>
            <w:tcW w:type="dxa" w:w="655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Cinq lignes attendues dans l'ordre. Une ligne laissée vide n'est pas une erreur de lecture : c'est une absence de réponse.</w:t>
            </w:r>
          </w:p>
        </w:tc>
      </w:tr>
      <w:tr>
        <w:tc>
          <w:tcPr>
            <w:tcW w:type="dxa" w:w="308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Le total</w:t>
            </w:r>
          </w:p>
        </w:tc>
        <w:tc>
          <w:tcPr>
            <w:tcW w:type="dxa" w:w="655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AF3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Recalculer le total à partir des items, ne jamais reprendre celui écrit sur la copie.</w:t>
            </w:r>
          </w:p>
        </w:tc>
      </w:tr>
    </w:tbl>
    <w:p>
      <w:pPr>
        <w:spacing w:after="100" w:before="120" w:line="264"/>
      </w:pPr>
      <w:r>
        <w:rPr>
          <w:sz w:val="19"/>
          <w:szCs w:val="19"/>
        </w:rPr>
        <w:t xml:space="preserve">En retour : la note sur 20 par étudiant, les items ratés, le taux de réussite par exercice et par item. Ce dernier chiffre est celui qui sert : un item raté par les trois quarts de la classe est une notion à reprendre, pas une classe à sanctionner.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2026-09-15T08:03:17.461Z</dcterms:created>
  <dcterms:modified xsi:type="dcterms:W3CDTF">2026-09-15T08:03:17.461Z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