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sz w:val="72"/>
          <w:szCs w:val="72"/>
        </w:rPr>
        <w:t xml:space="preserve">🦟</w:t>
      </w:r>
    </w:p>
    <w:p>
      <w:pPr>
        <w:spacing w:after="100"/>
        <w:jc w:val="center"/>
      </w:pPr>
      <w:r>
        <w:rPr>
          <w:b/>
          <w:bCs/>
          <w:color w:val="1F4E5F"/>
          <w:sz w:val="44"/>
          <w:szCs w:val="44"/>
        </w:rPr>
        <w:t xml:space="preserve">Guía Explicativa por Fases</w:t>
      </w:r>
    </w:p>
    <w:p>
      <w:pPr>
        <w:spacing w:after="260"/>
        <w:jc w:val="center"/>
      </w:pPr>
      <w:r>
        <w:rPr>
          <w:color w:val="595959"/>
          <w:sz w:val="26"/>
          <w:szCs w:val="26"/>
        </w:rPr>
        <w:t xml:space="preserve">MLOps Local con Monitoreo de Data Drift — Proyecto DengAI</w:t>
      </w:r>
    </w:p>
    <w:p>
      <w:pPr>
        <w:spacing w:after="40"/>
        <w:jc w:val="center"/>
      </w:pPr>
      <w:r>
        <w:rPr>
          <w:i/>
          <w:iCs/>
          <w:color w:val="595959"/>
          <w:sz w:val="21"/>
          <w:szCs w:val="21"/>
        </w:rPr>
        <w:t xml:space="preserve">Magíster en Ciencia de Datos — Tópicos en Data Science II</w:t>
      </w:r>
    </w:p>
    <w:p>
      <w:pPr>
        <w:spacing w:after="40"/>
        <w:jc w:val="center"/>
      </w:pPr>
      <w:r>
        <w:rPr>
          <w:color w:val="595959"/>
          <w:sz w:val="21"/>
          <w:szCs w:val="21"/>
        </w:rPr>
        <w:t xml:space="preserve">Integrantes: Gerardo Galán, Mabel Herrera</w:t>
      </w:r>
    </w:p>
    <w:p>
      <w:pPr>
        <w:spacing w:after="400"/>
        <w:jc w:val="center"/>
      </w:pPr>
      <w:r>
        <w:rPr>
          <w:color w:val="595959"/>
          <w:sz w:val="21"/>
          <w:szCs w:val="21"/>
        </w:rPr>
        <w:t xml:space="preserve">Repositorio: dengue_mlops_drift_repo_1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Este documento es material de apoyo para que el equipo entienda y prepare la defensa oral — resume, en lenguaje simple, qué se hizo en cada fase y en qué archivo del repositorio está la evidencia.</w:t>
            </w:r>
          </w:p>
          <w:p>
            <w:pPr>
              <w:spacing w:after="40"/>
            </w:pPr>
            <w:r>
              <w:rPr>
                <w:color w:val="333333"/>
                <w:sz w:val="20"/>
                <w:szCs w:val="20"/>
              </w:rPr>
              <w:t xml:space="preserve">NO es el Informe Ejecutivo que exige el enunciado (ese debe redactarlo el equipo con sus propias palabras — el enunciado prohíbe explícitamente que la IA lo redacte). Este archivo es solo una guía de estudio interna.</w:t>
            </w:r>
          </w:p>
        </w:tc>
      </w:tr>
    </w:tbl>
    <w:p>
      <w:r>
        <w:br w:type="page"/>
      </w:r>
    </w:p>
    <w:p>
      <w:pPr>
        <w:pStyle w:val="Heading1"/>
        <w:pBdr>
          <w:bottom w:val="single" w:color="1F4E5F" w:sz="6" w:space="4"/>
        </w:pBdr>
        <w:spacing w:after="160" w:before="400"/>
      </w:pPr>
      <w:r>
        <w:rPr>
          <w:b/>
          <w:bCs/>
          <w:color w:val="1F4E5F"/>
          <w:sz w:val="30"/>
          <w:szCs w:val="30"/>
        </w:rPr>
        <w:t xml:space="preserve">Cómo leer esta guía</w:t>
      </w:r>
    </w:p>
    <w:p>
      <w:pPr>
        <w:spacing w:after="160" w:line="300"/>
      </w:pPr>
      <w:r>
        <w:rPr>
          <w:sz w:val="22"/>
          <w:szCs w:val="22"/>
        </w:rPr>
        <w:t xml:space="preserve">Este trabajo integra 5 fases (0 a 4, más la Fase 5 de plan de acción) que corresponden a los 5 resultados de aprendizaje del curso (RAA1–RAA5). Cada sección de esta guía explica, sin tecnicismos, qué se hizo en esa fase, por qué se tomó esa decisión, y exactamente en qué archivo del repositorio se puede ver la evidencia — para que en la defensa oral cualquiera del equipo pueda señalar el documento correcto sin dudar.</w:t>
      </w:r>
    </w:p>
    <w:p>
      <w:pPr>
        <w:spacing w:after="160" w:line="300"/>
      </w:pPr>
      <w:r>
        <w:rPr>
          <w:sz w:val="22"/>
          <w:szCs w:val="22"/>
        </w:rPr>
        <w:t xml:space="preserve">El proyecto predice casos semanales de dengue en dos ciudades (San Juan, Puerto Rico, e Iquitos, Perú) a partir de variables climáticas, usando el dataset público DengAI (Kaggle arashnic/epidemy). El sistema completo corre en local, sin nube ni contenedores: un modelo entrenado, un servicio que predice y registra, y un sistema que vigila si el modelo empieza a fallar por drift.</w:t>
      </w:r>
    </w:p>
    <w:p>
      <w:pPr>
        <w:pStyle w:val="Heading1"/>
        <w:pBdr>
          <w:bottom w:val="single" w:color="1F4E5F" w:sz="6" w:space="4"/>
        </w:pBdr>
        <w:spacing w:after="160" w:before="400"/>
      </w:pPr>
      <w:r>
        <w:rPr>
          <w:b/>
          <w:bCs/>
          <w:color w:val="1F4E5F"/>
          <w:sz w:val="30"/>
          <w:szCs w:val="30"/>
        </w:rPr>
        <w:t xml:space="preserve">Fase 0 — Problemática: elección y justificación de negocio</w:t>
      </w:r>
    </w:p>
    <w:p>
      <w:pPr>
        <w:spacing w:after="160" w:line="300"/>
      </w:pPr>
      <w:r>
        <w:rPr>
          <w:sz w:val="22"/>
          <w:szCs w:val="22"/>
        </w:rPr>
        <w:t xml:space="preserve">Eligieron predecir casos semanales de dengue en San Juan e Iquitos usando datos climáticos (temperatura, humedad, lluvia, vegetación). La lógica de negocio es directa: si un servicio de salud pública sabe con semanas de anticipación que viene un aumento de casos, puede reforzar fumigación, campañas contra criaderos de mosquitos y camas de hospital antes de que el brote ya sea evidente en las urgencias.</w:t>
      </w:r>
    </w:p>
    <w:p>
      <w:pPr>
        <w:spacing w:after="160" w:line="300"/>
      </w:pPr>
      <w:r>
        <w:rPr>
          <w:sz w:val="22"/>
          <w:szCs w:val="22"/>
        </w:rPr>
        <w:t xml:space="preserve">El argumento de por qué este caso es bueno para hablar de drift es que la relación entre clima y dengue no es fija en el tiempo. El dataset cubre entre 10 y 20 años, con distintos eventos climáticos (El Niño/La Niña) y probablemente cambios no observados en el mosquito transmisor, la inmunidad de la población y las políticas de control. Esto produce a la vez:</w:t>
      </w:r>
    </w:p>
    <w:p>
      <w:pPr>
        <w:pStyle w:val="ListParagraph"/>
        <w:numPr>
          <w:ilvl w:val="0"/>
          <w:numId w:val="1"/>
        </w:numPr>
        <w:spacing w:after="100" w:line="300"/>
      </w:pPr>
      <w:r>
        <w:rPr>
          <w:sz w:val="22"/>
          <w:szCs w:val="22"/>
        </w:rPr>
        <w:t xml:space="preserve">Data drift: el clima de una década se ve distinto al de otra, y además San Juan e Iquitos son estadísticamente distintas entre sí.</w:t>
      </w:r>
    </w:p>
    <w:p>
      <w:pPr>
        <w:pStyle w:val="ListParagraph"/>
        <w:numPr>
          <w:ilvl w:val="0"/>
          <w:numId w:val="1"/>
        </w:numPr>
        <w:spacing w:after="100" w:line="300"/>
      </w:pPr>
      <w:r>
        <w:rPr>
          <w:sz w:val="22"/>
          <w:szCs w:val="22"/>
        </w:rPr>
        <w:t xml:space="preserve">Concept drift: la fuerza de la relación clima→casos cambia — en San Juan el clima predice mejor con 8 a 12 semanas de rezago, mientras que en Iquitos el efecto es casi inmediato y se diluye rápido.</w:t>
      </w:r>
    </w:p>
    <w:p>
      <w:pPr>
        <w:spacing w:after="160" w:line="300"/>
      </w:pPr>
      <w:r>
        <w:rPr>
          <w:sz w:val="22"/>
          <w:szCs w:val="22"/>
        </w:rPr>
        <w:t xml:space="preserve">La conclusión es que un modelo entrenado con datos viejos y nunca revisado corre el riesgo de fallar en silencio justo cuando aparece un año climáticamente atípico — el riesgo exacto que el resto del proyecto está diseñado para detectar.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notebooks/practico_06_proyecto_final_f0_f1_eda_Gerardo_Galan_Mabel_Herrera.ipynb</w:t>
            </w:r>
          </w:p>
          <w:p>
            <w:pPr>
              <w:spacing w:after="40"/>
            </w:pPr>
            <w:r>
              <w:rPr>
                <w:color w:val="333333"/>
                <w:sz w:val="20"/>
                <w:szCs w:val="20"/>
              </w:rPr>
              <w:t xml:space="preserve">Segunda celda del notebook (formato texto/markdown), justo antes de la sección "Setup". Incluye un párrafo marcado explícitamente "para el Informe Ejecutivo".</w:t>
            </w:r>
          </w:p>
        </w:tc>
      </w:tr>
    </w:tbl>
    <w:p>
      <w:pPr>
        <w:pStyle w:val="Heading1"/>
        <w:pBdr>
          <w:bottom w:val="single" w:color="1F4E5F" w:sz="6" w:space="4"/>
        </w:pBdr>
        <w:spacing w:after="160" w:before="400"/>
      </w:pPr>
      <w:r>
        <w:rPr>
          <w:b/>
          <w:bCs/>
          <w:color w:val="1F4E5F"/>
          <w:sz w:val="30"/>
          <w:szCs w:val="30"/>
        </w:rPr>
        <w:t xml:space="preserve">Fase 1 — EDA: análisis univariado/multivariado y detección de fuga de datos</w:t>
      </w:r>
    </w:p>
    <w:p>
      <w:pPr>
        <w:pStyle w:val="Heading2"/>
        <w:spacing w:after="120" w:before="240"/>
      </w:pPr>
      <w:r>
        <w:rPr>
          <w:b/>
          <w:bCs/>
          <w:color w:val="1F4E5F"/>
          <w:sz w:val="24"/>
          <w:szCs w:val="24"/>
        </w:rPr>
        <w:t xml:space="preserve">Parte 1: el análisis exploratorio</w:t>
      </w:r>
    </w:p>
    <w:p>
      <w:pPr>
        <w:spacing w:after="160" w:line="300"/>
      </w:pPr>
      <w:r>
        <w:rPr>
          <w:sz w:val="22"/>
          <w:szCs w:val="22"/>
        </w:rPr>
        <w:t xml:space="preserve">Primero definieron el grano de los datos (una fila = una ciudad-semana) y revisaron la calidad: valores faltantes, duplicados, tipos. Encontraron que los valores faltantes no son al azar — se concentran en ciertos años y variables (sobre todo el índice de vegetación NDVI), y en San Juan coinciden justo con un año de brote histórico grave (1994).</w:t>
      </w:r>
    </w:p>
    <w:p>
      <w:pPr>
        <w:spacing w:after="160" w:line="300"/>
      </w:pPr>
      <w:r>
        <w:rPr>
          <w:sz w:val="22"/>
          <w:szCs w:val="22"/>
        </w:rPr>
        <w:t xml:space="preserve">Luego miraron cómo se distribuye el número de casos por semana: casi siempre bajo, pero con picos extremos poco frecuentes en semanas de brote — no una campana simétrica, sino una "cola larga". Esto implica que no conviene un modelo de regresión simple ni evaluar el error con una sola métrica sensible a esos picos.</w:t>
      </w:r>
    </w:p>
    <w:p>
      <w:pPr>
        <w:spacing w:after="160" w:line="300"/>
      </w:pPr>
      <w:r>
        <w:rPr>
          <w:sz w:val="22"/>
          <w:szCs w:val="22"/>
        </w:rPr>
        <w:t xml:space="preserve">Con la serie de tiempo completa identificaron los brotes históricos más severos y notaron que ocurren cada 3 a 5 años, no todos los años — un patrón cíclico que el clima por sí solo no explica del todo (una limitación que dejan documentada honestamente).</w:t>
      </w:r>
    </w:p>
    <w:p>
      <w:pPr>
        <w:spacing w:after="160" w:line="300"/>
      </w:pPr>
      <w:r>
        <w:rPr>
          <w:sz w:val="22"/>
          <w:szCs w:val="22"/>
        </w:rPr>
        <w:t xml:space="preserve">Cruzando clima contra casos, encontraron con cuántas semanas de atraso el clima predice mejor: 8 a 12 semanas en San Juan, casi inmediato en Iquitos. La explicación biológica es que el mosquito y el virus necesitan tiempo para desarrollarse antes de que aparezca un caso reportado. Este hallazgo es la base de las "features de rezago" que usarán en la Fase 2.</w:t>
      </w:r>
    </w:p>
    <w:p>
      <w:pPr>
        <w:spacing w:after="160" w:line="300"/>
      </w:pPr>
      <w:r>
        <w:rPr>
          <w:sz w:val="22"/>
          <w:szCs w:val="22"/>
        </w:rPr>
        <w:t xml:space="preserve">Por último compararon San Juan contra Iquitos: clima parecido, pero escala de casos muy distinta (San Juan tiene en promedio 4.5 veces más casos) — por eso decidieron reportar métricas por ciudad por separado más adelante.</w:t>
      </w:r>
    </w:p>
    <w:p>
      <w:pPr>
        <w:pStyle w:val="Heading2"/>
        <w:spacing w:after="120" w:before="240"/>
      </w:pPr>
      <w:r>
        <w:rPr>
          <w:b/>
          <w:bCs/>
          <w:color w:val="1F4E5F"/>
          <w:sz w:val="24"/>
          <w:szCs w:val="24"/>
        </w:rPr>
        <w:t xml:space="preserve">Parte 2: detección de fuga de datos potencial (la más importante para la rúbrica)</w:t>
      </w:r>
    </w:p>
    <w:p>
      <w:pPr>
        <w:spacing w:after="160" w:line="300"/>
      </w:pPr>
      <w:r>
        <w:rPr>
          <w:sz w:val="22"/>
          <w:szCs w:val="22"/>
        </w:rPr>
        <w:t xml:space="preserve">No encontraron ninguna columna que contuviera directamente la respuesta correcta. El riesgo es más sutil y tiene que ver con cómo se procesan los datos. Identificaron cinco riesgos concretos, cada uno con su solución para la Fase 2:</w:t>
      </w:r>
    </w:p>
    <w:p>
      <w:pPr>
        <w:spacing w:after="100" w:line="300"/>
      </w:pPr>
      <w:r>
        <w:rPr>
          <w:sz w:val="22"/>
          <w:szCs w:val="22"/>
        </w:rPr>
        <w:t xml:space="preserve">1. Validar el modelo mezclando semanas al azar (en vez de respetar el calendario) inflaría artificialmente qué tan bien parece funcionar el modelo → usar validación temporal.</w:t>
      </w:r>
    </w:p>
    <w:p>
      <w:pPr>
        <w:spacing w:after="100" w:line="300"/>
      </w:pPr>
      <w:r>
        <w:rPr>
          <w:sz w:val="22"/>
          <w:szCs w:val="22"/>
        </w:rPr>
        <w:t xml:space="preserve">2. Rellenar datos faltantes con el promedio de toda la serie (pasado y futuro juntos) filtraría información del futuro → rellenar solo con lo disponible hasta ese momento.</w:t>
      </w:r>
    </w:p>
    <w:p>
      <w:pPr>
        <w:spacing w:after="100" w:line="300"/>
      </w:pPr>
      <w:r>
        <w:rPr>
          <w:sz w:val="22"/>
          <w:szCs w:val="22"/>
        </w:rPr>
        <w:t xml:space="preserve">3. Construir el "clima de semanas atrás" con el signo equivocado traería accidentalmente datos del futuro → auditar explícitamente la dirección de cada cálculo de rezago.</w:t>
      </w:r>
    </w:p>
    <w:p>
      <w:pPr>
        <w:spacing w:after="100" w:line="300"/>
      </w:pPr>
      <w:r>
        <w:rPr>
          <w:sz w:val="22"/>
          <w:szCs w:val="22"/>
        </w:rPr>
        <w:t xml:space="preserve">4. Las variables climáticas satelitales en la vida real llegan con retraso, aunque el dataset las presente como si estuvieran disponibles al instante → documentarlo como limitación del servicio.</w:t>
      </w:r>
    </w:p>
    <w:p>
      <w:pPr>
        <w:spacing w:after="100" w:line="300"/>
      </w:pPr>
      <w:r>
        <w:rPr>
          <w:sz w:val="22"/>
          <w:szCs w:val="22"/>
        </w:rPr>
        <w:t xml:space="preserve">5. Normalizar los datos de ambas ciudades juntas sin distinguirlas puede esconder el comportamiento real de cada una → evaluar tratar la ciudad como variable explícita.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Mismo notebook que la Fase 0: notebooks/practico_06_proyecto_final_f0_f1_eda_Gerardo_Galan_Mabel_Herrera.ipynb</w:t>
            </w:r>
          </w:p>
          <w:p>
            <w:pPr>
              <w:spacing w:after="40"/>
            </w:pPr>
            <w:r>
              <w:rPr>
                <w:color w:val="333333"/>
                <w:sz w:val="20"/>
                <w:szCs w:val="20"/>
              </w:rPr>
              <w:t xml:space="preserve">Pasos 1 a 6 (análisis exploratorio) y Paso 7 (detección de fuga), más la sección de Conclusiones al final del notebook.</w:t>
            </w:r>
          </w:p>
        </w:tc>
      </w:tr>
    </w:tbl>
    <w:p>
      <w:pPr>
        <w:pStyle w:val="Heading1"/>
        <w:pBdr>
          <w:bottom w:val="single" w:color="1F4E5F" w:sz="6" w:space="4"/>
        </w:pBdr>
        <w:spacing w:after="160" w:before="400"/>
      </w:pPr>
      <w:r>
        <w:rPr>
          <w:b/>
          <w:bCs/>
          <w:color w:val="1F4E5F"/>
          <w:sz w:val="30"/>
          <w:szCs w:val="30"/>
        </w:rPr>
        <w:t xml:space="preserve">Fase 2 — Modelado: pipeline sin fuga de datos, validación robusta y empaquetado</w:t>
      </w:r>
    </w:p>
    <w:p>
      <w:pPr>
        <w:spacing w:after="160" w:line="300"/>
      </w:pPr>
      <w:r>
        <w:rPr>
          <w:sz w:val="22"/>
          <w:szCs w:val="22"/>
        </w:rPr>
        <w:t xml:space="preserve">Esta fase toma cada riesgo detectado en la Fase 1 y lo convierte en una decisión concreta de diseño:</w:t>
      </w:r>
    </w:p>
    <w:p>
      <w:pPr>
        <w:spacing w:after="100" w:line="300"/>
      </w:pPr>
      <w:r>
        <w:rPr>
          <w:sz w:val="22"/>
          <w:szCs w:val="22"/>
        </w:rPr>
        <w:t xml:space="preserve">1. Separaron, por ciudad, el 80% más antiguo de las semanas para entrenar ("referencia") y guardaron aparte el 20% más reciente ("producción simulada"), con resultados reales pero nunca mostrados al modelo durante el entrenamiento.</w:t>
      </w:r>
    </w:p>
    <w:p>
      <w:pPr>
        <w:spacing w:after="100" w:line="300"/>
      </w:pPr>
      <w:r>
        <w:rPr>
          <w:sz w:val="22"/>
          <w:szCs w:val="22"/>
        </w:rPr>
        <w:t xml:space="preserve">2. Construyeron el "clima de semanas atrás" reutilizando la función de la Fase 1 y corrieron automáticamente el chequeo que asegura que nunca se cuela un dato del futuro.</w:t>
      </w:r>
    </w:p>
    <w:p>
      <w:pPr>
        <w:spacing w:after="100" w:line="300"/>
      </w:pPr>
      <w:r>
        <w:rPr>
          <w:sz w:val="22"/>
          <w:szCs w:val="22"/>
        </w:rPr>
        <w:t xml:space="preserve">3. Validaron el modelo respetando el calendario (entrenar solo con el pasado, probar con lo que viene después), en vez de mezclar semanas al azar.</w:t>
      </w:r>
    </w:p>
    <w:p>
      <w:pPr>
        <w:spacing w:after="100" w:line="300"/>
      </w:pPr>
      <w:r>
        <w:rPr>
          <w:sz w:val="22"/>
          <w:szCs w:val="22"/>
        </w:rPr>
        <w:t xml:space="preserve">4. Midieron el error por ciudad por separado, para que San Juan no tape cómo le va al modelo en Iquitos.</w:t>
      </w:r>
    </w:p>
    <w:p>
      <w:pPr>
        <w:spacing w:after="100" w:line="300"/>
      </w:pPr>
      <w:r>
        <w:rPr>
          <w:sz w:val="22"/>
          <w:szCs w:val="22"/>
        </w:rPr>
        <w:t xml:space="preserve">5. Demostraron con números cuánto "engaña" la fuga de datos: la validación incorrecta (mezclando al azar) subestima el error real en más de un 30% — no es solo una advertencia teórica, es una prueba concreta.</w:t>
      </w:r>
    </w:p>
    <w:p>
      <w:pPr>
        <w:spacing w:after="100" w:line="300"/>
      </w:pPr>
      <w:r>
        <w:rPr>
          <w:sz w:val="22"/>
          <w:szCs w:val="22"/>
        </w:rPr>
        <w:t xml:space="preserve">6. Entrenaron la versión final (Random Forest, con un ajuste matemático para manejar mejor los picos de brotes) con todo el conjunto de referencia y la guardaron en un solo archivo reutilizable.</w:t>
      </w:r>
    </w:p>
    <w:p>
      <w:pPr>
        <w:spacing w:after="100" w:line="300"/>
      </w:pPr>
      <w:r>
        <w:rPr>
          <w:sz w:val="22"/>
          <w:szCs w:val="22"/>
        </w:rPr>
        <w:t xml:space="preserve">7. Probaron el modelo ya entrenado contra el 20% guardado aparte, solo para confirmar que todo el proceso funciona de punta a punta (el análisis serio de drift queda para la Fase 4).</w:t>
      </w:r>
    </w:p>
    <w:p>
      <w:pPr>
        <w:spacing w:after="160" w:line="300"/>
      </w:pPr>
      <w:r>
        <w:rPr>
          <w:sz w:val="22"/>
          <w:szCs w:val="22"/>
        </w:rPr>
        <w:t xml:space="preserve">El error de validación oficial del modelo quedó en aproximadamente 24.1 casos por semana de diferencia promedio (MAE).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notebooks/practico_06_proyecto_final_fase2_modelado_Gerardo_Galan_Mabel_Herrera.ipynb (los 7 pasos + conclusiones)</w:t>
            </w:r>
          </w:p>
          <w:p>
            <w:pPr>
              <w:spacing w:after="40"/>
            </w:pPr>
            <w:r>
              <w:rPr>
                <w:color w:val="333333"/>
                <w:sz w:val="20"/>
                <w:szCs w:val="20"/>
              </w:rPr>
              <w:t xml:space="preserve">Código reutilizable: src/data.py (separación por fecha), src/features.py (features de rezago), src/modelo.py (construcción y entrenamiento).</w:t>
            </w:r>
          </w:p>
          <w:p>
            <w:pPr>
              <w:spacing w:after="40"/>
            </w:pPr>
            <w:r>
              <w:rPr>
                <w:color w:val="333333"/>
                <w:sz w:val="20"/>
                <w:szCs w:val="20"/>
              </w:rPr>
              <w:t xml:space="preserve">Resultado guardado: models/modelo_dengue.joblib (modelo entrenado) y models/metadata.json (ficha técnica con el error de validación).</w:t>
            </w:r>
          </w:p>
        </w:tc>
      </w:tr>
    </w:tbl>
    <w:p>
      <w:pPr>
        <w:pStyle w:val="Heading1"/>
        <w:pBdr>
          <w:bottom w:val="single" w:color="1F4E5F" w:sz="6" w:space="4"/>
        </w:pBdr>
        <w:spacing w:after="160" w:before="400"/>
      </w:pPr>
      <w:r>
        <w:rPr>
          <w:b/>
          <w:bCs/>
          <w:color w:val="1F4E5F"/>
          <w:sz w:val="30"/>
          <w:szCs w:val="30"/>
        </w:rPr>
        <w:t xml:space="preserve">Fase 3 — Servicio de inferencia local + registro de predicciones</w:t>
      </w:r>
    </w:p>
    <w:p>
      <w:pPr>
        <w:spacing w:after="160" w:line="300"/>
      </w:pPr>
      <w:r>
        <w:rPr>
          <w:sz w:val="22"/>
          <w:szCs w:val="22"/>
        </w:rPr>
        <w:t xml:space="preserve">A diferencia de las fases anteriores, esta no tiene notebook: es un servicio que corre de verdad, pensado para levantarse con un solo comando (uvicorn app:app --port 8000 desde la carpeta service/).</w:t>
      </w:r>
    </w:p>
    <w:p>
      <w:pPr>
        <w:spacing w:after="160" w:line="300"/>
      </w:pPr>
      <w:r>
        <w:rPr>
          <w:sz w:val="22"/>
          <w:szCs w:val="22"/>
        </w:rPr>
        <w:t xml:space="preserve">Al arrancar, el servicio carga el modelo entrenado en la Fase 2 y, si es la primera vez, "siembra" un historial reciente — necesario porque para predecir un caso nuevo el modelo necesita el clima de varias semanas atrás.</w:t>
      </w:r>
    </w:p>
    <w:p>
      <w:pPr>
        <w:spacing w:after="160" w:line="300"/>
      </w:pPr>
      <w:r>
        <w:rPr>
          <w:sz w:val="22"/>
          <w:szCs w:val="22"/>
        </w:rPr>
        <w:t xml:space="preserve">El servicio expone varias puertas de entrada. La principal es /ingest: recibe el clima de una semana de una ciudad, calcula automáticamente las variables de rezago con el historial acumulado, predice los casos de dengue, y registra tanto la predicción como los datos usados. /predicciones devuelve el registro completo de todas las predicciones hechas — esto es exactamente lo que pide el enunciado ("registro de cada predicción con sus inputs"). También hay /health (estado del servicio), /historial/{ciudad} (para depurar) y /reiniciar (solo para pruebas).</w:t>
      </w:r>
    </w:p>
    <w:p>
      <w:pPr>
        <w:spacing w:after="160" w:line="300"/>
      </w:pPr>
      <w:r>
        <w:rPr>
          <w:sz w:val="22"/>
          <w:szCs w:val="22"/>
        </w:rPr>
        <w:t xml:space="preserve">Todo el registro se guarda en una base de datos SQLite local, con dos tablas: el historial crudo recibido semana a semana, y cada predicción hecha junto con los datos que se usaron — trazabilidad completa.</w:t>
      </w:r>
    </w:p>
    <w:p>
      <w:pPr>
        <w:spacing w:after="160" w:line="300"/>
      </w:pPr>
      <w:r>
        <w:rPr>
          <w:sz w:val="22"/>
          <w:szCs w:val="22"/>
        </w:rPr>
        <w:t xml:space="preserve">Una decisión de diseño destacable: la lógica de "cómo predecir a partir de una observación nueva" vive en un solo lugar compartido (src/inferencia.py), y tanto el servicio como el notebook de la Fase 4 la usan — así se evita que ambos calculen las predicciones de formas ligeramente distintas.</w:t>
      </w:r>
    </w:p>
    <w:p>
      <w:pPr>
        <w:spacing w:after="160" w:line="300"/>
      </w:pPr>
      <w:r>
        <w:rPr>
          <w:sz w:val="22"/>
          <w:szCs w:val="22"/>
        </w:rPr>
        <w:t xml:space="preserve">El servicio ya se probó de punta a punta: hay 188 predicciones registradas para San Juan y 104 para Iquitos guardadas en la base de datos, generadas con el script service/simular_produccion.py, que alimenta el servicio con la producción simulada como si fueran datos llegando semana a semana.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service/app.py (el servicio FastAPI en sí), service/store.py (almacenamiento en SQLite).</w:t>
            </w:r>
          </w:p>
          <w:p>
            <w:pPr>
              <w:spacing w:after="40"/>
            </w:pPr>
            <w:r>
              <w:rPr>
                <w:color w:val="333333"/>
                <w:sz w:val="20"/>
                <w:szCs w:val="20"/>
              </w:rPr>
              <w:t xml:space="preserve">src/inferencia.py (lógica de predicción compartida entre el servicio y la Fase 4).</w:t>
            </w:r>
          </w:p>
          <w:p>
            <w:pPr>
              <w:spacing w:after="40"/>
            </w:pPr>
            <w:r>
              <w:rPr>
                <w:color w:val="333333"/>
                <w:sz w:val="20"/>
                <w:szCs w:val="20"/>
              </w:rPr>
              <w:t xml:space="preserve">service/simular_produccion.py (script que alimenta el servicio para la demo).</w:t>
            </w:r>
          </w:p>
          <w:p>
            <w:pPr>
              <w:spacing w:after="40"/>
            </w:pPr>
            <w:r>
              <w:rPr>
                <w:color w:val="333333"/>
                <w:sz w:val="20"/>
                <w:szCs w:val="20"/>
              </w:rPr>
              <w:t xml:space="preserve">Resultado ya generado: logs/dengue_service.db (292 predicciones registradas).</w:t>
            </w:r>
          </w:p>
        </w:tc>
      </w:tr>
    </w:tbl>
    <w:p>
      <w:pPr>
        <w:pStyle w:val="Heading1"/>
        <w:pBdr>
          <w:bottom w:val="single" w:color="1F4E5F" w:sz="6" w:space="4"/>
        </w:pBdr>
        <w:spacing w:after="160" w:before="400"/>
      </w:pPr>
      <w:r>
        <w:rPr>
          <w:b/>
          <w:bCs/>
          <w:color w:val="1F4E5F"/>
          <w:sz w:val="30"/>
          <w:szCs w:val="30"/>
        </w:rPr>
        <w:t xml:space="preserve">Fase 4 — Monitoreo de drift: ventanas, métricas y dashboard</w:t>
      </w:r>
    </w:p>
    <w:p>
      <w:pPr>
        <w:spacing w:after="160" w:line="300"/>
      </w:pPr>
      <w:r>
        <w:rPr>
          <w:sz w:val="22"/>
          <w:szCs w:val="22"/>
        </w:rPr>
        <w:t xml:space="preserve">Esta es la fase de mayor peso en la rúbrica (20%). Vive en un notebook propio y su resultado visual final es el dashboard de Streamlit.</w:t>
      </w:r>
    </w:p>
    <w:p>
      <w:pPr>
        <w:spacing w:after="100" w:line="300"/>
      </w:pPr>
      <w:r>
        <w:rPr>
          <w:sz w:val="22"/>
          <w:szCs w:val="22"/>
        </w:rPr>
        <w:t xml:space="preserve">1. Simulan que llegan datos nuevos semana a semana, llamando directamente a la misma función interna que usa el servicio de la Fase 3 (así el notebook corre solo, sin depender de tener el servidor prendido aparte).</w:t>
      </w:r>
    </w:p>
    <w:p>
      <w:pPr>
        <w:spacing w:after="100" w:line="300"/>
      </w:pPr>
      <w:r>
        <w:rPr>
          <w:sz w:val="22"/>
          <w:szCs w:val="22"/>
        </w:rPr>
        <w:t xml:space="preserve">2. Cortan esos datos en 4 tramos de tiempo por ciudad, de ancho de tiempo igual (no de igual cantidad de filas), porque "cada ventana es como un año" es más fácil de entender para un equipo de salud pública.</w:t>
      </w:r>
    </w:p>
    <w:p>
      <w:pPr>
        <w:spacing w:after="100" w:line="300"/>
      </w:pPr>
      <w:r>
        <w:rPr>
          <w:sz w:val="22"/>
          <w:szCs w:val="22"/>
        </w:rPr>
        <w:t xml:space="preserve">3. Miden si el clima que llega ahora se parece al clima de entrenamiento, usando PSI y el test de Kolmogorov-Smirnov. Detectaron que la regla estándar de PSI (10 grupos de comparación) es inestable con sus ventanas chicas (26 a 47 semanas) y, tras comprobarlo con un experimento, ajustaron a 5 grupos — una decisión justificada con evidencia, no arbitraria.</w:t>
      </w:r>
    </w:p>
    <w:p>
      <w:pPr>
        <w:spacing w:after="100" w:line="300"/>
      </w:pPr>
      <w:r>
        <w:rPr>
          <w:sz w:val="22"/>
          <w:szCs w:val="22"/>
        </w:rPr>
        <w:t xml:space="preserve">4. Ven si el modelo realmente empeora, no solo si el clima cambió. Hallazgo central del proyecto: el error del modelo NO empeora de forma constante — en Iquitos incluso mejora en las ventanas más recientes, a pesar de que varias variables climáticas seguían mostrando drift alto. Lección documentada: drift estadístico no implica automáticamente drift de negocio.</w:t>
      </w:r>
    </w:p>
    <w:p>
      <w:pPr>
        <w:spacing w:after="100" w:line="300"/>
      </w:pPr>
      <w:r>
        <w:rPr>
          <w:sz w:val="22"/>
          <w:szCs w:val="22"/>
        </w:rPr>
        <w:t xml:space="preserve">5. Combinan ambas señales en un semáforo de alertas: 2 o más variables con drift significativo → alerta de drift; error 30% peor que la referencia → alerta de desempeño. Cruzando ambas, cada ventana queda en OK, REVISAR o REENTRENAR. Con los datos actuales, las 8 combinaciones de ciudad y ventana quedaron en REVISAR (hubo drift, pero nunca junto con una caída de desempeño suficiente).</w:t>
      </w:r>
    </w:p>
    <w:p>
      <w:pPr>
        <w:spacing w:after="160" w:line="300"/>
      </w:pPr>
      <w:r>
        <w:rPr>
          <w:sz w:val="22"/>
          <w:szCs w:val="22"/>
        </w:rPr>
        <w:t xml:space="preserve">Todo lo calculado se guarda en tres archivos CSV que el dashboard de Streamlit simplemente lee (no recalcula nada) — por eso, si el dashboard se ve vacío, la causa casi segura es que no se corrió este notebook 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notebooks/practico_06_proyecto_final_fase4_drift_Gerardo_Galan_Mabel_Herrera.ipynb (5 pasos + conclusiones).</w:t>
            </w:r>
          </w:p>
          <w:p>
            <w:pPr>
              <w:spacing w:after="40"/>
            </w:pPr>
            <w:r>
              <w:rPr>
                <w:color w:val="333333"/>
                <w:sz w:val="20"/>
                <w:szCs w:val="20"/>
              </w:rPr>
              <w:t xml:space="preserve">src/drift.py (fórmulas de PSI y KS reutilizables).</w:t>
            </w:r>
          </w:p>
          <w:p>
            <w:pPr>
              <w:spacing w:after="40"/>
            </w:pPr>
            <w:r>
              <w:rPr>
                <w:color w:val="333333"/>
                <w:sz w:val="20"/>
                <w:szCs w:val="20"/>
              </w:rPr>
              <w:t xml:space="preserve">reports/drift_detalle.csv, reports/mae_por_ventana.csv, reports/alertas_por_ventana.csv (resultados guardados).</w:t>
            </w:r>
          </w:p>
          <w:p>
            <w:pPr>
              <w:spacing w:after="40"/>
            </w:pPr>
            <w:r>
              <w:rPr>
                <w:color w:val="333333"/>
                <w:sz w:val="20"/>
                <w:szCs w:val="20"/>
              </w:rPr>
              <w:t xml:space="preserve">dashboard/dashboard.py (parte visual — se levanta con streamlit run dashboard.py).</w:t>
            </w:r>
          </w:p>
        </w:tc>
      </w:tr>
    </w:tbl>
    <w:p>
      <w:pPr>
        <w:pStyle w:val="Heading1"/>
        <w:pBdr>
          <w:bottom w:val="single" w:color="1F4E5F" w:sz="6" w:space="4"/>
        </w:pBdr>
        <w:spacing w:after="160" w:before="400"/>
      </w:pPr>
      <w:r>
        <w:rPr>
          <w:b/>
          <w:bCs/>
          <w:color w:val="1F4E5F"/>
          <w:sz w:val="30"/>
          <w:szCs w:val="30"/>
        </w:rPr>
        <w:t xml:space="preserve">Fase 5 — Plan de acción ante drift</w:t>
      </w:r>
    </w:p>
    <w:p>
      <w:pPr>
        <w:spacing w:after="160" w:line="300"/>
      </w:pPr>
      <w:r>
        <w:rPr>
          <w:sz w:val="22"/>
          <w:szCs w:val="22"/>
        </w:rPr>
        <w:t xml:space="preserve">Tampoco tiene notebook propio: vive en un documento (PLAN_DE_ACCION.md) y en el código que efectivamente ejecuta el gatillo (service/reentrenar.py) — no solo lo describe en teoría, lo implementa.</w:t>
      </w:r>
    </w:p>
    <w:p>
      <w:pPr>
        <w:spacing w:after="160" w:line="300"/>
      </w:pPr>
      <w:r>
        <w:rPr>
          <w:sz w:val="22"/>
          <w:szCs w:val="22"/>
        </w:rPr>
        <w:t xml:space="preserve">Responde qué hacer ante cada uno de los tres niveles que produce la Fase 4:</w:t>
      </w:r>
    </w:p>
    <w:p>
      <w:pPr>
        <w:pStyle w:val="ListParagraph"/>
        <w:numPr>
          <w:ilvl w:val="0"/>
          <w:numId w:val="1"/>
        </w:numPr>
        <w:spacing w:after="100" w:line="300"/>
      </w:pPr>
      <w:r>
        <w:rPr>
          <w:sz w:val="22"/>
          <w:szCs w:val="22"/>
        </w:rPr>
        <w:t xml:space="preserve">OK: no se hace nada, se sigue monitoreando con normalidad.</w:t>
      </w:r>
    </w:p>
    <w:p>
      <w:pPr>
        <w:pStyle w:val="ListParagraph"/>
        <w:numPr>
          <w:ilvl w:val="0"/>
          <w:numId w:val="1"/>
        </w:numPr>
        <w:spacing w:after="100" w:line="300"/>
      </w:pPr>
      <w:r>
        <w:rPr>
          <w:sz w:val="22"/>
          <w:szCs w:val="22"/>
        </w:rPr>
        <w:t xml:space="preserve">REVISAR (una sola señal): el dashboard marca la ventana en amarillo y el equipo la revisa manualmente. Deliberadamente NO reentrenan ante una señal aislada — el PSI puede dispararse por el tamaño chico de la ventana, y reentrenar cada vez arriesga perseguir ruido. En vez de eso, aumentan la frecuencia de revisión.</w:t>
      </w:r>
    </w:p>
    <w:p>
      <w:pPr>
        <w:pStyle w:val="ListParagraph"/>
        <w:numPr>
          <w:ilvl w:val="0"/>
          <w:numId w:val="1"/>
        </w:numPr>
        <w:spacing w:after="100" w:line="300"/>
      </w:pPr>
      <w:r>
        <w:rPr>
          <w:sz w:val="22"/>
          <w:szCs w:val="22"/>
        </w:rPr>
        <w:t xml:space="preserve">REENTRENAR (drift y caída de desempeño juntos): el equipo confirma la alerta y ejecuta a mano "python reentrenar.py --city &lt;ciudad&gt; --ventanas &lt;...&gt;". El script incorpora esas semanas (con resultado real conocido) al set de referencia y reentrena con la misma arquitectura de la Fase 2.</w:t>
      </w:r>
    </w:p>
    <w:p>
      <w:pPr>
        <w:spacing w:after="160" w:line="300"/>
      </w:pPr>
      <w:r>
        <w:rPr>
          <w:sz w:val="22"/>
          <w:szCs w:val="22"/>
        </w:rPr>
        <w:t xml:space="preserve">Hay un guardrail automático bien pensado: el modelo nuevo solo se promueve a producción si su error no empeora más de un 10% respecto al modelo actual. Si empeora más, se guarda aparte para revisión manual y el modelo en producción no cambia. Si se promueve, primero se respalda una copia del modelo anterior — eso permite un "rollback" (python reentrenar.py --rollback) si el modelo nuevo resulta peor una vez en producción.</w:t>
      </w:r>
    </w:p>
    <w:p>
      <w:pPr>
        <w:spacing w:after="160" w:line="300"/>
      </w:pPr>
      <w:r>
        <w:rPr>
          <w:sz w:val="22"/>
          <w:szCs w:val="22"/>
        </w:rPr>
        <w:t xml:space="preserve">La razón que dan para no automatizar completamente el reentrenamiento: el umbral de PSI puede dispararse por ruido de muestreo, y reentrenar justo con datos de un brote severo puntual podría sesgar el modelo sin revisión — un humano confirmando antes de promover un modelo nuevo es, para el tamaño del proyecto, más razonable que la automatización total.</w:t>
      </w:r>
    </w:p>
    <w:p>
      <w:pPr>
        <w:spacing w:after="160" w:line="300"/>
      </w:pPr>
      <w:r>
        <w:rPr>
          <w:color w:val="2F5233"/>
          <w:sz w:val="22"/>
          <w:szCs w:val="22"/>
        </w:rPr>
        <w:t xml:space="preserve">Actualización: ya se probó de punta a punta (28-08-2026). Se ejecutó "python reentrenar.py --city sj --ventanas V2 V3": incorporó 94 semanas, reentrenó (tardó ~43 segundos — no es instantáneo, tenerlo presente para la demo en vivo), comparó MAE (24.13 → 23.87, mejora) y promovió correctamente un modelo v2, respaldando el v1 en models/archivo/. Después se probó "python reentrenar.py --rollback" y se confirmó por hash que el modelo y metadata.json quedaron idénticos, byte a byte, a los originales. La evidencia del ciclo completo (promoción + rollback) quedó guardada en models/historial_versiones.json.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5F" w:sz="4"/>
              <w:left w:val="single" w:color="1F4E5F" w:sz="4"/>
              <w:bottom w:val="single" w:color="1F4E5F" w:sz="4"/>
              <w:right w:val="single" w:color="1F4E5F" w:sz="4"/>
            </w:tcBorders>
            <w:shd w:fill="EAF2F5" w:val="clear"/>
            <w:tcMar>
              <w:top w:type="dxa" w:w="140"/>
              <w:left w:type="dxa" w:w="180"/>
              <w:bottom w:type="dxa" w:w="140"/>
              <w:right w:type="dxa" w:w="180"/>
            </w:tcMar>
          </w:tcPr>
          <w:p>
            <w:pPr>
              <w:spacing w:after="60"/>
            </w:pPr>
            <w:r>
              <w:rPr>
                <w:b/>
                <w:bCs/>
                <w:color w:val="1F4E5F"/>
                <w:sz w:val="21"/>
                <w:szCs w:val="21"/>
              </w:rPr>
              <w:t xml:space="preserve">📁 Dónde encontrarlo</w:t>
            </w:r>
          </w:p>
          <w:p>
            <w:pPr>
              <w:spacing w:after="40"/>
            </w:pPr>
            <w:r>
              <w:rPr>
                <w:color w:val="333333"/>
                <w:sz w:val="20"/>
                <w:szCs w:val="20"/>
              </w:rPr>
              <w:t xml:space="preserve">PLAN_DE_ACCION.md (documento explicativo completo, con los tres niveles y el "por qué").</w:t>
            </w:r>
          </w:p>
          <w:p>
            <w:pPr>
              <w:spacing w:after="40"/>
            </w:pPr>
            <w:r>
              <w:rPr>
                <w:color w:val="333333"/>
                <w:sz w:val="20"/>
                <w:szCs w:val="20"/>
              </w:rPr>
              <w:t xml:space="preserve">service/reentrenar.py (implementación real del gatillo, el guardrail y el rollback).</w:t>
            </w:r>
          </w:p>
          <w:p>
            <w:pPr>
              <w:spacing w:after="40"/>
            </w:pPr>
            <w:r>
              <w:rPr>
                <w:color w:val="333333"/>
                <w:sz w:val="20"/>
                <w:szCs w:val="20"/>
              </w:rPr>
              <w:t xml:space="preserve">Reutiliza: src/modelo.py (mismo entrenamiento que la Fase 2) y src/drift.py (para identificar las ventanas).</w:t>
            </w:r>
          </w:p>
          <w:p>
            <w:pPr>
              <w:spacing w:after="40"/>
            </w:pPr>
            <w:r>
              <w:rPr>
                <w:color w:val="333333"/>
                <w:sz w:val="20"/>
                <w:szCs w:val="20"/>
              </w:rPr>
              <w:t xml:space="preserve">Evidencia de la prueba: models/historial_versiones.json y models/archivo/ (respaldo del modelo v1).</w:t>
            </w:r>
          </w:p>
        </w:tc>
      </w:tr>
    </w:tbl>
    <w:p>
      <w:r>
        <w:br w:type="page"/>
      </w:r>
    </w:p>
    <w:p>
      <w:pPr>
        <w:pStyle w:val="Heading1"/>
        <w:pBdr>
          <w:bottom w:val="single" w:color="1F4E5F" w:sz="6" w:space="4"/>
        </w:pBdr>
        <w:spacing w:after="160" w:before="400"/>
      </w:pPr>
      <w:r>
        <w:rPr>
          <w:b/>
          <w:bCs/>
          <w:color w:val="1F4E5F"/>
          <w:sz w:val="30"/>
          <w:szCs w:val="30"/>
        </w:rPr>
        <w:t xml:space="preserve">Resumen frente a la rúbrica (100 puntos)</w:t>
      </w:r>
    </w:p>
    <w:p>
      <w:pPr>
        <w:spacing w:after="160" w:line="300"/>
      </w:pPr>
      <w:r>
        <w:rPr>
          <w:sz w:val="22"/>
          <w:szCs w:val="22"/>
        </w:rPr>
        <w:t xml:space="preserve">Estimación propia de avance por criterio, con base en la revisión del repositorio — no es la nota oficial.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50"/>
      </w:tblGrid>
      <w:tr>
        <w:trPr>
          <w:tblHeader/>
        </w:trPr>
        <w:tc>
          <w:tcPr>
            <w:tcW w:type="dxa" w:w="3300"/>
            <w:shd w:fill="1F4E5F" w:val="clear"/>
            <w:tcMar>
              <w:top w:type="dxa" w:w="100"/>
              <w:left w:type="dxa" w:w="120"/>
              <w:bottom w:type="dxa" w:w="100"/>
              <w:right w:type="dxa" w:w="120"/>
            </w:tcMar>
            <w:vAlign w:val="center"/>
          </w:tcPr>
          <w:p>
            <w:r>
              <w:rPr>
                <w:b/>
                <w:bCs/>
                <w:color w:val="FFFFFF"/>
                <w:sz w:val="20"/>
                <w:szCs w:val="20"/>
              </w:rPr>
              <w:t xml:space="preserve">Criterio</w:t>
            </w:r>
          </w:p>
        </w:tc>
        <w:tc>
          <w:tcPr>
            <w:tcW w:type="dxa" w:w="1300"/>
            <w:shd w:fill="1F4E5F" w:val="clear"/>
            <w:tcMar>
              <w:top w:type="dxa" w:w="100"/>
              <w:left w:type="dxa" w:w="120"/>
              <w:bottom w:type="dxa" w:w="100"/>
              <w:right w:type="dxa" w:w="120"/>
            </w:tcMar>
            <w:vAlign w:val="center"/>
          </w:tcPr>
          <w:p>
            <w:r>
              <w:rPr>
                <w:b/>
                <w:bCs/>
                <w:color w:val="FFFFFF"/>
                <w:sz w:val="20"/>
                <w:szCs w:val="20"/>
              </w:rPr>
              <w:t xml:space="preserve">Peso</w:t>
            </w:r>
          </w:p>
        </w:tc>
        <w:tc>
          <w:tcPr>
            <w:tcW w:type="dxa" w:w="4750"/>
            <w:shd w:fill="1F4E5F" w:val="clear"/>
            <w:tcMar>
              <w:top w:type="dxa" w:w="100"/>
              <w:left w:type="dxa" w:w="120"/>
              <w:bottom w:type="dxa" w:w="100"/>
              <w:right w:type="dxa" w:w="120"/>
            </w:tcMar>
            <w:vAlign w:val="center"/>
          </w:tcPr>
          <w:p>
            <w:r>
              <w:rPr>
                <w:b/>
                <w:bCs/>
                <w:color w:val="FFFFFF"/>
                <w:sz w:val="20"/>
                <w:szCs w:val="20"/>
              </w:rPr>
              <w:t xml:space="preserve">Estado</w:t>
            </w:r>
          </w:p>
        </w:tc>
      </w:tr>
      <w:tr>
        <w:tc>
          <w:tcPr>
            <w:tcW w:type="dxa" w:w="3300"/>
            <w:tcMar>
              <w:top w:type="dxa" w:w="80"/>
              <w:left w:type="dxa" w:w="120"/>
              <w:bottom w:type="dxa" w:w="80"/>
              <w:right w:type="dxa" w:w="120"/>
            </w:tcMar>
          </w:tcPr>
          <w:p>
            <w:r>
              <w:rPr>
                <w:sz w:val="20"/>
                <w:szCs w:val="20"/>
              </w:rPr>
              <w:t xml:space="preserve">Problemática y justificación de negocio</w:t>
            </w:r>
          </w:p>
        </w:tc>
        <w:tc>
          <w:tcPr>
            <w:tcW w:type="dxa" w:w="1300"/>
            <w:tcMar>
              <w:top w:type="dxa" w:w="80"/>
              <w:left w:type="dxa" w:w="120"/>
              <w:bottom w:type="dxa" w:w="80"/>
              <w:right w:type="dxa" w:w="120"/>
            </w:tcMar>
          </w:tcPr>
          <w:p>
            <w:pPr>
              <w:jc w:val="center"/>
            </w:pPr>
            <w:r>
              <w:rPr>
                <w:sz w:val="20"/>
                <w:szCs w:val="20"/>
              </w:rPr>
              <w:t xml:space="preserve">5%</w:t>
            </w:r>
          </w:p>
        </w:tc>
        <w:tc>
          <w:tcPr>
            <w:tcW w:type="dxa" w:w="4750"/>
            <w:tcMar>
              <w:top w:type="dxa" w:w="80"/>
              <w:left w:type="dxa" w:w="120"/>
              <w:bottom w:type="dxa" w:w="80"/>
              <w:right w:type="dxa" w:w="120"/>
            </w:tcMar>
          </w:tcPr>
          <w:p>
            <w:r>
              <w:rPr>
                <w:sz w:val="20"/>
                <w:szCs w:val="20"/>
              </w:rPr>
              <w:t xml:space="preserve">Completa — Fase 0 del notebook de EDA.</w:t>
            </w:r>
          </w:p>
        </w:tc>
      </w:tr>
      <w:tr>
        <w:tc>
          <w:tcPr>
            <w:tcW w:type="dxa" w:w="3300"/>
            <w:tcMar>
              <w:top w:type="dxa" w:w="80"/>
              <w:left w:type="dxa" w:w="120"/>
              <w:bottom w:type="dxa" w:w="80"/>
              <w:right w:type="dxa" w:w="120"/>
            </w:tcMar>
          </w:tcPr>
          <w:p>
            <w:r>
              <w:rPr>
                <w:sz w:val="20"/>
                <w:szCs w:val="20"/>
              </w:rPr>
              <w:t xml:space="preserve">EDA y calidad de datos</w:t>
            </w:r>
          </w:p>
        </w:tc>
        <w:tc>
          <w:tcPr>
            <w:tcW w:type="dxa" w:w="1300"/>
            <w:tcMar>
              <w:top w:type="dxa" w:w="80"/>
              <w:left w:type="dxa" w:w="120"/>
              <w:bottom w:type="dxa" w:w="80"/>
              <w:right w:type="dxa" w:w="120"/>
            </w:tcMar>
          </w:tcPr>
          <w:p>
            <w:pPr>
              <w:jc w:val="center"/>
            </w:pPr>
            <w:r>
              <w:rPr>
                <w:sz w:val="20"/>
                <w:szCs w:val="20"/>
              </w:rPr>
              <w:t xml:space="preserve">10%</w:t>
            </w:r>
          </w:p>
        </w:tc>
        <w:tc>
          <w:tcPr>
            <w:tcW w:type="dxa" w:w="4750"/>
            <w:tcMar>
              <w:top w:type="dxa" w:w="80"/>
              <w:left w:type="dxa" w:w="120"/>
              <w:bottom w:type="dxa" w:w="80"/>
              <w:right w:type="dxa" w:w="120"/>
            </w:tcMar>
          </w:tcPr>
          <w:p>
            <w:r>
              <w:rPr>
                <w:sz w:val="20"/>
                <w:szCs w:val="20"/>
              </w:rPr>
              <w:t xml:space="preserve">Sólido — 7 pasos de análisis univariado/multivariado y calidad de datos.</w:t>
            </w:r>
          </w:p>
        </w:tc>
      </w:tr>
      <w:tr>
        <w:tc>
          <w:tcPr>
            <w:tcW w:type="dxa" w:w="3300"/>
            <w:tcMar>
              <w:top w:type="dxa" w:w="80"/>
              <w:left w:type="dxa" w:w="120"/>
              <w:bottom w:type="dxa" w:w="80"/>
              <w:right w:type="dxa" w:w="120"/>
            </w:tcMar>
          </w:tcPr>
          <w:p>
            <w:r>
              <w:rPr>
                <w:sz w:val="20"/>
                <w:szCs w:val="20"/>
              </w:rPr>
              <w:t xml:space="preserve">Modelado y buenas prácticas</w:t>
            </w:r>
          </w:p>
        </w:tc>
        <w:tc>
          <w:tcPr>
            <w:tcW w:type="dxa" w:w="1300"/>
            <w:tcMar>
              <w:top w:type="dxa" w:w="80"/>
              <w:left w:type="dxa" w:w="120"/>
              <w:bottom w:type="dxa" w:w="80"/>
              <w:right w:type="dxa" w:w="120"/>
            </w:tcMar>
          </w:tcPr>
          <w:p>
            <w:pPr>
              <w:jc w:val="center"/>
            </w:pPr>
            <w:r>
              <w:rPr>
                <w:sz w:val="20"/>
                <w:szCs w:val="20"/>
              </w:rPr>
              <w:t xml:space="preserve">10%</w:t>
            </w:r>
          </w:p>
        </w:tc>
        <w:tc>
          <w:tcPr>
            <w:tcW w:type="dxa" w:w="4750"/>
            <w:tcMar>
              <w:top w:type="dxa" w:w="80"/>
              <w:left w:type="dxa" w:w="120"/>
              <w:bottom w:type="dxa" w:w="80"/>
              <w:right w:type="dxa" w:w="120"/>
            </w:tcMar>
          </w:tcPr>
          <w:p>
            <w:r>
              <w:rPr>
                <w:sz w:val="20"/>
                <w:szCs w:val="20"/>
              </w:rPr>
              <w:t xml:space="preserve">Sólido — sin fuga verificada, validación temporal, fuga cuantificada (+30%).</w:t>
            </w:r>
          </w:p>
        </w:tc>
      </w:tr>
      <w:tr>
        <w:tc>
          <w:tcPr>
            <w:tcW w:type="dxa" w:w="3300"/>
            <w:tcMar>
              <w:top w:type="dxa" w:w="80"/>
              <w:left w:type="dxa" w:w="120"/>
              <w:bottom w:type="dxa" w:w="80"/>
              <w:right w:type="dxa" w:w="120"/>
            </w:tcMar>
          </w:tcPr>
          <w:p>
            <w:r>
              <w:rPr>
                <w:sz w:val="20"/>
                <w:szCs w:val="20"/>
              </w:rPr>
              <w:t xml:space="preserve">Servicio de inferencia local</w:t>
            </w:r>
          </w:p>
        </w:tc>
        <w:tc>
          <w:tcPr>
            <w:tcW w:type="dxa" w:w="1300"/>
            <w:tcMar>
              <w:top w:type="dxa" w:w="80"/>
              <w:left w:type="dxa" w:w="120"/>
              <w:bottom w:type="dxa" w:w="80"/>
              <w:right w:type="dxa" w:w="120"/>
            </w:tcMar>
          </w:tcPr>
          <w:p>
            <w:pPr>
              <w:jc w:val="center"/>
            </w:pPr>
            <w:r>
              <w:rPr>
                <w:sz w:val="20"/>
                <w:szCs w:val="20"/>
              </w:rPr>
              <w:t xml:space="preserve">10%</w:t>
            </w:r>
          </w:p>
        </w:tc>
        <w:tc>
          <w:tcPr>
            <w:tcW w:type="dxa" w:w="4750"/>
            <w:tcMar>
              <w:top w:type="dxa" w:w="80"/>
              <w:left w:type="dxa" w:w="120"/>
              <w:bottom w:type="dxa" w:w="80"/>
              <w:right w:type="dxa" w:w="120"/>
            </w:tcMar>
          </w:tcPr>
          <w:p>
            <w:r>
              <w:rPr>
                <w:sz w:val="20"/>
                <w:szCs w:val="20"/>
              </w:rPr>
              <w:t xml:space="preserve">Funcional y ya probado — 292 predicciones registradas.</w:t>
            </w:r>
          </w:p>
        </w:tc>
      </w:tr>
      <w:tr>
        <w:tc>
          <w:tcPr>
            <w:tcW w:type="dxa" w:w="3300"/>
            <w:tcMar>
              <w:top w:type="dxa" w:w="80"/>
              <w:left w:type="dxa" w:w="120"/>
              <w:bottom w:type="dxa" w:w="80"/>
              <w:right w:type="dxa" w:w="120"/>
            </w:tcMar>
          </w:tcPr>
          <w:p>
            <w:r>
              <w:rPr>
                <w:sz w:val="20"/>
                <w:szCs w:val="20"/>
              </w:rPr>
              <w:t xml:space="preserve">Sistema de monitoreo de drift</w:t>
            </w:r>
          </w:p>
        </w:tc>
        <w:tc>
          <w:tcPr>
            <w:tcW w:type="dxa" w:w="1300"/>
            <w:tcMar>
              <w:top w:type="dxa" w:w="80"/>
              <w:left w:type="dxa" w:w="120"/>
              <w:bottom w:type="dxa" w:w="80"/>
              <w:right w:type="dxa" w:w="120"/>
            </w:tcMar>
          </w:tcPr>
          <w:p>
            <w:pPr>
              <w:jc w:val="center"/>
            </w:pPr>
            <w:r>
              <w:rPr>
                <w:sz w:val="20"/>
                <w:szCs w:val="20"/>
              </w:rPr>
              <w:t xml:space="preserve">20%</w:t>
            </w:r>
          </w:p>
        </w:tc>
        <w:tc>
          <w:tcPr>
            <w:tcW w:type="dxa" w:w="4750"/>
            <w:tcMar>
              <w:top w:type="dxa" w:w="80"/>
              <w:left w:type="dxa" w:w="120"/>
              <w:bottom w:type="dxa" w:w="80"/>
              <w:right w:type="dxa" w:w="120"/>
            </w:tcMar>
          </w:tcPr>
          <w:p>
            <w:r>
              <w:rPr>
                <w:sz w:val="20"/>
                <w:szCs w:val="20"/>
              </w:rPr>
              <w:t xml:space="preserve">Sólido — PSI/KS justificados, dashboard funcional.</w:t>
            </w:r>
          </w:p>
        </w:tc>
      </w:tr>
      <w:tr>
        <w:tc>
          <w:tcPr>
            <w:tcW w:type="dxa" w:w="3300"/>
            <w:tcMar>
              <w:top w:type="dxa" w:w="80"/>
              <w:left w:type="dxa" w:w="120"/>
              <w:bottom w:type="dxa" w:w="80"/>
              <w:right w:type="dxa" w:w="120"/>
            </w:tcMar>
          </w:tcPr>
          <w:p>
            <w:r>
              <w:rPr>
                <w:sz w:val="20"/>
                <w:szCs w:val="20"/>
              </w:rPr>
              <w:t xml:space="preserve">Plan de acción ante drift</w:t>
            </w:r>
          </w:p>
        </w:tc>
        <w:tc>
          <w:tcPr>
            <w:tcW w:type="dxa" w:w="1300"/>
            <w:tcMar>
              <w:top w:type="dxa" w:w="80"/>
              <w:left w:type="dxa" w:w="120"/>
              <w:bottom w:type="dxa" w:w="80"/>
              <w:right w:type="dxa" w:w="120"/>
            </w:tcMar>
          </w:tcPr>
          <w:p>
            <w:pPr>
              <w:jc w:val="center"/>
            </w:pPr>
            <w:r>
              <w:rPr>
                <w:sz w:val="20"/>
                <w:szCs w:val="20"/>
              </w:rPr>
              <w:t xml:space="preserve">5%</w:t>
            </w:r>
          </w:p>
        </w:tc>
        <w:tc>
          <w:tcPr>
            <w:tcW w:type="dxa" w:w="4750"/>
            <w:tcMar>
              <w:top w:type="dxa" w:w="80"/>
              <w:left w:type="dxa" w:w="120"/>
              <w:bottom w:type="dxa" w:w="80"/>
              <w:right w:type="dxa" w:w="120"/>
            </w:tcMar>
          </w:tcPr>
          <w:p>
            <w:r>
              <w:rPr>
                <w:sz w:val="20"/>
                <w:szCs w:val="20"/>
              </w:rPr>
              <w:t xml:space="preserve">Implementado, documentado y ya probado de punta a punta (reentrenamiento + rollback verificados).</w:t>
            </w:r>
          </w:p>
        </w:tc>
      </w:tr>
      <w:tr>
        <w:tc>
          <w:tcPr>
            <w:tcW w:type="dxa" w:w="3300"/>
            <w:tcMar>
              <w:top w:type="dxa" w:w="80"/>
              <w:left w:type="dxa" w:w="120"/>
              <w:bottom w:type="dxa" w:w="80"/>
              <w:right w:type="dxa" w:w="120"/>
            </w:tcMar>
          </w:tcPr>
          <w:p>
            <w:r>
              <w:rPr>
                <w:sz w:val="20"/>
                <w:szCs w:val="20"/>
              </w:rPr>
              <w:t xml:space="preserve">Informe ejecutivo y defensa oral</w:t>
            </w:r>
          </w:p>
        </w:tc>
        <w:tc>
          <w:tcPr>
            <w:tcW w:type="dxa" w:w="1300"/>
            <w:tcMar>
              <w:top w:type="dxa" w:w="80"/>
              <w:left w:type="dxa" w:w="120"/>
              <w:bottom w:type="dxa" w:w="80"/>
              <w:right w:type="dxa" w:w="120"/>
            </w:tcMar>
          </w:tcPr>
          <w:p>
            <w:pPr>
              <w:jc w:val="center"/>
            </w:pPr>
            <w:r>
              <w:rPr>
                <w:sz w:val="20"/>
                <w:szCs w:val="20"/>
              </w:rPr>
              <w:t xml:space="preserve">40%</w:t>
            </w:r>
          </w:p>
        </w:tc>
        <w:tc>
          <w:tcPr>
            <w:tcW w:type="dxa" w:w="4750"/>
            <w:tcMar>
              <w:top w:type="dxa" w:w="80"/>
              <w:left w:type="dxa" w:w="120"/>
              <w:bottom w:type="dxa" w:w="80"/>
              <w:right w:type="dxa" w:w="120"/>
            </w:tcMar>
          </w:tcPr>
          <w:p>
            <w:r>
              <w:rPr>
                <w:sz w:val="20"/>
                <w:szCs w:val="20"/>
              </w:rPr>
              <w:t xml:space="preserve">Pendiente — solo existe la plantilla, marcada explícitamente como "no es el informe final".</w:t>
            </w:r>
          </w:p>
        </w:tc>
      </w:tr>
    </w:tbl>
    <w:p>
      <w:pPr>
        <w:spacing w:after="200"/>
      </w:pPr>
    </w:p>
    <w:p>
      <w:pPr>
        <w:pStyle w:val="Heading1"/>
        <w:pBdr>
          <w:bottom w:val="single" w:color="1F4E5F" w:sz="6" w:space="4"/>
        </w:pBdr>
        <w:spacing w:after="160" w:before="400"/>
      </w:pPr>
      <w:r>
        <w:rPr>
          <w:b/>
          <w:bCs/>
          <w:color w:val="1F4E5F"/>
          <w:sz w:val="30"/>
          <w:szCs w:val="30"/>
        </w:rPr>
        <w:t xml:space="preserve">Verificación de ejecución completa (criterio de corte, &lt;10 minutos)</w:t>
      </w:r>
    </w:p>
    <w:p>
      <w:pPr>
        <w:spacing w:after="160" w:line="300"/>
      </w:pPr>
      <w:r>
        <w:rPr>
          <w:sz w:val="22"/>
          <w:szCs w:val="22"/>
        </w:rPr>
        <w:t xml:space="preserve">El 28-08-2026 se probaron los pasos del README de punta a punta (entorno, servicio, alimentación y dashboard) para revisar el criterio de corte del enunciado. Resultado: el sistema funciona correctamente en todos los pasos (cero errores), pero apareció un riesgo real que conviene resolver antes de la entrega.</w:t>
      </w:r>
    </w:p>
    <w:p>
      <w:pPr>
        <w:pStyle w:val="Heading2"/>
        <w:spacing w:after="120" w:before="240"/>
      </w:pPr>
      <w:r>
        <w:rPr>
          <w:b/>
          <w:bCs/>
          <w:color w:val="1F4E5F"/>
          <w:sz w:val="24"/>
          <w:szCs w:val="24"/>
        </w:rPr>
        <w:t xml:space="preserve">Lo que funcionó, con tiempos medidos</w:t>
      </w:r>
    </w:p>
    <w:p>
      <w:pPr>
        <w:pStyle w:val="ListParagraph"/>
        <w:numPr>
          <w:ilvl w:val="0"/>
          <w:numId w:val="1"/>
        </w:numPr>
        <w:spacing w:after="100" w:line="300"/>
      </w:pPr>
      <w:r>
        <w:rPr>
          <w:sz w:val="22"/>
          <w:szCs w:val="22"/>
        </w:rPr>
        <w:t xml:space="preserve">Instalación de dependencias (pip install -r requirements.txt) en un entorno nuevo: ~4-5 minutos en esta prueba (con buena conexión podría ser menos; depende de la velocidad de internet de la máquina donde se corra).</w:t>
      </w:r>
    </w:p>
    <w:p>
      <w:pPr>
        <w:pStyle w:val="ListParagraph"/>
        <w:numPr>
          <w:ilvl w:val="0"/>
          <w:numId w:val="1"/>
        </w:numPr>
        <w:spacing w:after="100" w:line="300"/>
      </w:pPr>
      <w:r>
        <w:rPr>
          <w:sz w:val="22"/>
          <w:szCs w:val="22"/>
        </w:rPr>
        <w:t xml:space="preserve">Levantar el servicio (uvicorn app:app): 2-4 segundos, responde /health de inmediato.</w:t>
      </w:r>
    </w:p>
    <w:p>
      <w:pPr>
        <w:pStyle w:val="ListParagraph"/>
        <w:numPr>
          <w:ilvl w:val="0"/>
          <w:numId w:val="1"/>
        </w:numPr>
        <w:spacing w:after="100" w:line="300"/>
      </w:pPr>
      <w:r>
        <w:rPr>
          <w:sz w:val="22"/>
          <w:szCs w:val="22"/>
        </w:rPr>
        <w:t xml:space="preserve">Alimentar el servicio con las 292 semanas de producción simulada (simular_produccion.py): ~80 segundos en total (cada semana hace una predicción real con el modelo y la registra en la base de datos — no es instantáneo, pero funciona sin errores).</w:t>
      </w:r>
    </w:p>
    <w:p>
      <w:pPr>
        <w:pStyle w:val="ListParagraph"/>
        <w:numPr>
          <w:ilvl w:val="0"/>
          <w:numId w:val="1"/>
        </w:numPr>
        <w:spacing w:after="100" w:line="300"/>
      </w:pPr>
      <w:r>
        <w:rPr>
          <w:sz w:val="22"/>
          <w:szCs w:val="22"/>
        </w:rPr>
        <w:t xml:space="preserve">Levantar el dashboard (streamlit run dashboard.py): 5-8 segundos, responde correctamente.</w:t>
      </w:r>
    </w:p>
    <w:p>
      <w:pPr>
        <w:spacing w:after="160" w:line="300"/>
      </w:pPr>
      <w:r>
        <w:rPr>
          <w:sz w:val="22"/>
          <w:szCs w:val="22"/>
        </w:rPr>
        <w:t xml:space="preserve">Sumando todo: aproximadamente 6 a 7 minutos en esta prueba — dentro del límite de 10 minutos, pero sin mucho margen.</w:t>
      </w:r>
    </w:p>
    <w:p>
      <w:pPr>
        <w:pStyle w:val="Heading2"/>
        <w:spacing w:after="120" w:before="240"/>
      </w:pPr>
      <w:r>
        <w:rPr>
          <w:b/>
          <w:bCs/>
          <w:color w:val="1F4E5F"/>
          <w:sz w:val="24"/>
          <w:szCs w:val="24"/>
        </w:rPr>
        <w:t xml:space="preserve">Riesgo importante detectado: la carpeta del proyecto vive en OneDrive</w:t>
      </w:r>
    </w:p>
    <w:p>
      <w:pPr>
        <w:spacing w:after="160" w:line="300"/>
      </w:pPr>
      <w:r>
        <w:rPr>
          <w:color w:val="9C4221"/>
          <w:sz w:val="22"/>
          <w:szCs w:val="22"/>
        </w:rPr>
        <w:t xml:space="preserve">Al intentar crear el entorno virtual ("python3 -m venv venv") directamente DENTRO de la carpeta del proyecto — tal como lo indica literalmente el README, porque esa carpeta está sincronizada con OneDrive — la operación no alcanzó a terminar ni siquiera en 45 segundos, cuando en un disco local normal la misma operación tomó 4.3 segundos. La razón probable es que OneDrive sincroniza cada archivo nuevo de forma individual, y crear un entorno virtual implica escribir cientos de archivos pequeños de golpe — eso multiplica el tiempo por sincronización, no por el trabajo real que hace Python.</w:t>
      </w:r>
    </w:p>
    <w:p>
      <w:pPr>
        <w:spacing w:after="160" w:line="300"/>
      </w:pPr>
      <w:r>
        <w:rPr>
          <w:color w:val="9C4221"/>
          <w:sz w:val="22"/>
          <w:szCs w:val="22"/>
        </w:rPr>
        <w:t xml:space="preserve">Esto es relevante porque, si quien evalúa el proyecto sigue el README exactamente como está escrito, creando el entorno virtual dentro de esa misma carpeta sincronizada, ese solo paso podría demorar varios minutos más de lo esperado y poner en riesgo el límite de 10 minutos — no por un error del código, sino por la sincronización de OneDrive.</w:t>
      </w:r>
    </w:p>
    <w:p>
      <w:pPr>
        <w:pStyle w:val="Heading2"/>
        <w:spacing w:after="120" w:before="240"/>
      </w:pPr>
      <w:r>
        <w:rPr>
          <w:b/>
          <w:bCs/>
          <w:color w:val="1F4E5F"/>
          <w:sz w:val="24"/>
          <w:szCs w:val="24"/>
        </w:rPr>
        <w:t xml:space="preserve">Recomendación</w:t>
      </w:r>
    </w:p>
    <w:p>
      <w:pPr>
        <w:spacing w:after="100" w:line="300"/>
      </w:pPr>
      <w:r>
        <w:rPr>
          <w:sz w:val="22"/>
          <w:szCs w:val="22"/>
        </w:rPr>
        <w:t xml:space="preserve">1. Antes de la entrega, probar la ejecución completa en la máquina real (no solo en este ambiente de prueba) con un cronómetro, siguiendo el README tal cual, para tener el número definitivo.</w:t>
      </w:r>
    </w:p>
    <w:p>
      <w:pPr>
        <w:spacing w:after="100" w:line="300"/>
      </w:pPr>
      <w:r>
        <w:rPr>
          <w:sz w:val="22"/>
          <w:szCs w:val="22"/>
        </w:rPr>
        <w:t xml:space="preserve">2. Considerar pausar la sincronización de OneDrive mientras se hace la demo para la defensa oral, o mover una copia del repositorio a una carpeta local (fuera de OneDrive) para esa ejecución puntual.</w:t>
      </w:r>
    </w:p>
    <w:p>
      <w:pPr>
        <w:spacing w:after="100" w:line="300"/>
      </w:pPr>
      <w:r>
        <w:rPr>
          <w:sz w:val="22"/>
          <w:szCs w:val="22"/>
        </w:rPr>
        <w:t xml:space="preserve">3. Si el tiempo sigue siendo ajustado, aclarar en el README que se recomienda crear el entorno virtual fuera de OneDrive o con la sincronización en pausa — una nota de una línea alcanza.</w:t>
      </w:r>
    </w:p>
    <w:p>
      <w:pPr>
        <w:spacing w:after="150"/>
      </w:pPr>
    </w:p>
    <w:p>
      <w:pPr>
        <w:pStyle w:val="Heading1"/>
        <w:pBdr>
          <w:bottom w:val="single" w:color="1F4E5F" w:sz="6" w:space="4"/>
        </w:pBdr>
        <w:spacing w:after="160" w:before="400"/>
      </w:pPr>
      <w:r>
        <w:rPr>
          <w:b/>
          <w:bCs/>
          <w:color w:val="1F4E5F"/>
          <w:sz w:val="30"/>
          <w:szCs w:val="30"/>
        </w:rPr>
        <w:t xml:space="preserve">Qué falta antes de entregar</w:t>
      </w:r>
    </w:p>
    <w:p>
      <w:pPr>
        <w:spacing w:after="100" w:line="300"/>
      </w:pPr>
      <w:r>
        <w:rPr>
          <w:sz w:val="22"/>
          <w:szCs w:val="22"/>
        </w:rPr>
        <w:t xml:space="preserve">1. Escribir el Informe Ejecutivo final (máx. 3 páginas, PDF, lenguaje de negocio) — hoy solo existe la plantilla ORIGINAL INFORME_EJECUTIVO_template.md, que no debe entregarse tal cual. Debe redactarlo el equipo, no la IA, según las reglas del enunciado.</w:t>
      </w:r>
    </w:p>
    <w:p>
      <w:pPr>
        <w:spacing w:after="100" w:line="300"/>
      </w:pPr>
      <w:r>
        <w:rPr>
          <w:sz w:val="22"/>
          <w:szCs w:val="22"/>
        </w:rPr>
        <w:t xml:space="preserve">2. Decidir el formato del repositorio de entrega (Git con historial, o zip) — actualmente la carpeta no tiene control de versiones inicializado.</w:t>
      </w:r>
    </w:p>
    <w:p>
      <w:pPr>
        <w:spacing w:after="160" w:line="300"/>
      </w:pPr>
      <w:r>
        <w:rPr>
          <w:i/>
          <w:iCs/>
          <w:color w:val="2F5233"/>
          <w:sz w:val="22"/>
          <w:szCs w:val="22"/>
        </w:rPr>
        <w:t xml:space="preserve">Ya resuelto: probar service/reentrenar.py (reentrenamiento + rollback) — verificado el 28-08-2026, funciona correctamente. Ya resuelto (con una alerta importante): verificación de ejecución completa siguiendo el README — funciona en ~6-7 minutos, pero ver el riesgo de OneDrive arriba antes de dar esto por cerrado.</w:t>
      </w:r>
    </w:p>
    <w:p>
      <w:pPr>
        <w:spacing w:after="300"/>
      </w:pPr>
    </w:p>
    <w:p>
      <w:pPr>
        <w:pBdr>
          <w:top w:val="single" w:color="CCCCCC" w:sz="4" w:space="6"/>
        </w:pBdr>
        <w:spacing w:before="200"/>
        <w:jc w:val="center"/>
      </w:pPr>
      <w:r>
        <w:rPr>
          <w:i/>
          <w:iCs/>
          <w:color w:val="595959"/>
          <w:sz w:val="18"/>
          <w:szCs w:val="18"/>
        </w:rPr>
        <w:t xml:space="preserve">Documento generado como material de apoyo para la preparación de la defensa oral — no sustituye al Informe Ejecutivo oficial del equipo.</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2026-08-28T05:41:46.597Z</dcterms:created>
  <dcterms:modified xsi:type="dcterms:W3CDTF">2026-08-28T05:41:46.611Z</dcterms:modified>
</cp:coreProperties>
</file>

<file path=docProps/custom.xml><?xml version="1.0" encoding="utf-8"?>
<Properties xmlns="http://schemas.openxmlformats.org/officeDocument/2006/custom-properties" xmlns:vt="http://schemas.openxmlformats.org/officeDocument/2006/docPropsVTypes"/>
</file>