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r>
        <w:rPr>
          <w:rFonts w:ascii="Garamond" w:hAnsi="Garamond"/>
          <w:b/>
          <w:sz w:val="28"/>
        </w:rPr>
        <w:t>Decision Verdict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/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▮▮▯▯▯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Decision Gate Rule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