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Garamond" w:hAnsi="Garamond"/>
          <w:b/>
          <w:sz w:val="40"/>
        </w:rPr>
        <w:t>AMC Strategic Career Decision Architecture</w:t>
      </w:r>
    </w:p>
    <w:p>
      <w:pPr>
        <w:spacing w:line="276" w:lineRule="auto"/>
      </w:pPr>
      <w:r>
        <w:rPr>
          <w:rFonts w:ascii="Calibri" w:hAnsi="Calibri"/>
          <w:sz w:val="22"/>
        </w:rPr>
        <w:t>Confidential Career Decision Report</w:t>
      </w:r>
    </w:p>
    <w:p>
      <w:r>
        <w:br w:type="page"/>
      </w:r>
    </w:p>
    <w:p>
      <w:r>
        <w:rPr>
          <w:rFonts w:ascii="Garamond" w:hAnsi="Garamond"/>
          <w:b/>
          <w:sz w:val="36"/>
        </w:rPr>
        <w:t>Executive Overview</w:t>
      </w:r>
    </w:p>
    <w:p>
      <w:r>
        <w:rPr>
          <w:rFonts w:ascii="Garamond" w:hAnsi="Garamond"/>
          <w:b/>
          <w:sz w:val="28"/>
        </w:rPr>
        <w:t>Decision Verdict</w:t>
      </w:r>
    </w:p>
    <w:p>
      <w:pPr>
        <w:spacing w:line="276" w:lineRule="auto"/>
      </w:pPr>
      <w:r>
        <w:rPr>
          <w:rFonts w:ascii="Calibri" w:hAnsi="Calibri"/>
          <w:sz w:val="22"/>
        </w:rPr>
        <w:t>Pivot – Hold</w:t>
      </w:r>
    </w:p>
    <w:p/>
    <w:p>
      <w:r>
        <w:rPr>
          <w:rFonts w:ascii="Garamond" w:hAnsi="Garamond"/>
          <w:b/>
          <w:sz w:val="28"/>
        </w:rPr>
        <w:t>Executive Summary</w:t>
      </w:r>
    </w:p>
    <w:p>
      <w:pPr>
        <w:spacing w:before="40" w:after="40"/>
        <w:jc w:val="left"/>
      </w:pPr>
      <w:r>
        <w:rPr>
          <w:rFonts w:ascii="Calibri Light" w:hAnsi="Calibri Light" w:eastAsia="Calibri Light"/>
          <w:color w:val="7F7F7F"/>
          <w:sz w:val="18"/>
        </w:rPr>
        <w:t>Data completeness: High (qualitative signals available).</w:t>
      </w:r>
    </w:p>
    <w:p>
      <w:pPr>
        <w:spacing w:line="276" w:lineRule="auto"/>
      </w:pPr>
      <w:r>
        <w:rPr>
          <w:rFonts w:ascii="Calibri" w:hAnsi="Calibri"/>
          <w:sz w:val="22"/>
        </w:rPr>
        <w:t>Verdict — One-line structural summary.</w:t>
      </w:r>
    </w:p>
    <w:p>
      <w:pPr>
        <w:spacing w:line="276" w:lineRule="auto"/>
      </w:pPr>
      <w:r>
        <w:rPr>
          <w:rFonts w:ascii="Calibri" w:hAnsi="Calibri"/>
          <w:sz w:val="22"/>
        </w:rPr>
        <w:t>Structural Outlook — One-line structural summary.</w:t>
      </w:r>
    </w:p>
    <w:p>
      <w:pPr>
        <w:spacing w:line="276" w:lineRule="auto"/>
      </w:pPr>
      <w:r>
        <w:rPr>
          <w:rFonts w:ascii="Calibri" w:hAnsi="Calibri"/>
          <w:sz w:val="22"/>
        </w:rPr>
        <w:t>Structural Risk — One-line structural summary.</w:t>
      </w:r>
    </w:p>
    <w:p>
      <w:pPr>
        <w:spacing w:line="276" w:lineRule="auto"/>
      </w:pPr>
      <w:r>
        <w:rPr>
          <w:rFonts w:ascii="Calibri" w:hAnsi="Calibri"/>
          <w:sz w:val="22"/>
        </w:rPr>
        <w:t>Personal &amp; Exposure — One-line structural summary.</w:t>
      </w:r>
    </w:p>
    <w:p/>
    <w:p>
      <w:r>
        <w:rPr>
          <w:rFonts w:ascii="Garamond" w:hAnsi="Garamond"/>
          <w:b/>
          <w:sz w:val="28"/>
        </w:rPr>
        <w:t>Five-Factor Structural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1"/>
        <w:gridCol w:w="3321"/>
        <w:gridCol w:w="3321"/>
      </w:tblGrid>
      <w:tr>
        <w:tc>
          <w:tcPr>
            <w:tcW w:type="dxa" w:w="3321"/>
          </w:tcPr>
          <w:p>
            <w:r>
              <w:t>Dimension</w:t>
            </w:r>
          </w:p>
        </w:tc>
        <w:tc>
          <w:tcPr>
            <w:tcW w:type="dxa" w:w="3321"/>
          </w:tcPr>
          <w:p>
            <w:r>
              <w:t>Score (0–2)</w:t>
            </w:r>
          </w:p>
        </w:tc>
        <w:tc>
          <w:tcPr>
            <w:tcW w:type="dxa" w:w="3321"/>
          </w:tcPr>
          <w:p>
            <w:r>
              <w:t>Visual</w:t>
            </w:r>
          </w:p>
        </w:tc>
      </w:tr>
      <w:tr>
        <w:tc>
          <w:tcPr>
            <w:tcW w:type="dxa" w:w="3321"/>
          </w:tcPr>
          <w:p>
            <w:r>
              <w:t>Market &amp; Role Outlook</w:t>
            </w:r>
          </w:p>
        </w:tc>
        <w:tc>
          <w:tcPr>
            <w:tcW w:type="dxa" w:w="3321"/>
          </w:tcPr>
          <w:p>
            <w:r>
              <w:t>1 / 2</w:t>
            </w:r>
          </w:p>
        </w:tc>
        <w:tc>
          <w:tcPr>
            <w:tcW w:type="dxa" w:w="3321"/>
          </w:tcPr>
          <w:p>
            <w:r>
              <w:t>▮▮▯▯▯</w:t>
            </w:r>
          </w:p>
        </w:tc>
      </w:tr>
      <w:tr>
        <w:tc>
          <w:tcPr>
            <w:tcW w:type="dxa" w:w="3321"/>
          </w:tcPr>
          <w:p>
            <w:r>
              <w:t>Company Stability &amp; Governance</w:t>
            </w:r>
          </w:p>
        </w:tc>
        <w:tc>
          <w:tcPr>
            <w:tcW w:type="dxa" w:w="3321"/>
          </w:tcPr>
          <w:p>
            <w:r>
              <w:t>0 / 2</w:t>
            </w:r>
          </w:p>
        </w:tc>
        <w:tc>
          <w:tcPr>
            <w:tcW w:type="dxa" w:w="3321"/>
          </w:tcPr>
          <w:p>
            <w:r>
              <w:t>▮▮▯▯▯</w:t>
            </w:r>
          </w:p>
        </w:tc>
      </w:tr>
      <w:tr>
        <w:tc>
          <w:tcPr>
            <w:tcW w:type="dxa" w:w="3321"/>
          </w:tcPr>
          <w:p>
            <w:r>
              <w:t>FIFWM Structural Risk</w:t>
            </w:r>
          </w:p>
        </w:tc>
        <w:tc>
          <w:tcPr>
            <w:tcW w:type="dxa" w:w="3321"/>
          </w:tcPr>
          <w:p>
            <w:r>
              <w:t>1 / 2</w:t>
            </w:r>
          </w:p>
        </w:tc>
        <w:tc>
          <w:tcPr>
            <w:tcW w:type="dxa" w:w="3321"/>
          </w:tcPr>
          <w:p>
            <w:r>
              <w:t>▮▮▯▯▯</w:t>
            </w:r>
          </w:p>
        </w:tc>
      </w:tr>
      <w:tr>
        <w:tc>
          <w:tcPr>
            <w:tcW w:type="dxa" w:w="3321"/>
          </w:tcPr>
          <w:p>
            <w:r>
              <w:t>Personal Fit &amp; Temperament</w:t>
            </w:r>
          </w:p>
        </w:tc>
        <w:tc>
          <w:tcPr>
            <w:tcW w:type="dxa" w:w="3321"/>
          </w:tcPr>
          <w:p>
            <w:r>
              <w:t>0 / 2</w:t>
            </w:r>
          </w:p>
        </w:tc>
        <w:tc>
          <w:tcPr>
            <w:tcW w:type="dxa" w:w="3321"/>
          </w:tcPr>
          <w:p>
            <w:r>
              <w:t>▮▮▯▯▯</w:t>
            </w:r>
          </w:p>
        </w:tc>
      </w:tr>
      <w:tr>
        <w:tc>
          <w:tcPr>
            <w:tcW w:type="dxa" w:w="3321"/>
          </w:tcPr>
          <w:p>
            <w:r>
              <w:t>Upside vs Downside Exposure</w:t>
            </w:r>
          </w:p>
        </w:tc>
        <w:tc>
          <w:tcPr>
            <w:tcW w:type="dxa" w:w="3321"/>
          </w:tcPr>
          <w:p>
            <w:r>
              <w:t>1 / 2</w:t>
            </w:r>
          </w:p>
        </w:tc>
        <w:tc>
          <w:tcPr>
            <w:tcW w:type="dxa" w:w="3321"/>
          </w:tcPr>
          <w:p>
            <w:r>
              <w:t>▮▮▯▯▯</w:t>
            </w:r>
          </w:p>
        </w:tc>
      </w:tr>
    </w:tbl>
    <w:p>
      <w:r>
        <w:br w:type="page"/>
      </w:r>
    </w:p>
    <w:p>
      <w:r>
        <w:rPr>
          <w:rFonts w:ascii="Garamond" w:hAnsi="Garamond"/>
          <w:b/>
          <w:sz w:val="36"/>
        </w:rPr>
        <w:t>Structural Diagnosis</w:t>
      </w:r>
    </w:p>
    <w:p>
      <w:r>
        <w:rPr>
          <w:rFonts w:ascii="Garamond" w:hAnsi="Garamond"/>
          <w:b/>
          <w:sz w:val="28"/>
        </w:rPr>
        <w:t>Market &amp; Role Outlook</w:t>
      </w:r>
    </w:p>
    <w:p>
      <w:pPr>
        <w:spacing w:line="276" w:lineRule="auto"/>
      </w:pPr>
      <w:r>
        <w:rPr>
          <w:rFonts w:ascii="Calibri" w:hAnsi="Calibri"/>
          <w:sz w:val="22"/>
        </w:rPr>
        <w:t>Score — 1 / 2</w:t>
      </w:r>
    </w:p>
    <w:p>
      <w:pPr>
        <w:spacing w:line="276" w:lineRule="auto"/>
      </w:pPr>
      <w:r>
        <w:rPr>
          <w:rFonts w:ascii="Calibri" w:hAnsi="Calibri"/>
          <w:sz w:val="22"/>
        </w:rPr>
        <w:t>Core structural read (1–2 lines).</w:t>
      </w:r>
    </w:p>
    <w:p>
      <w:pPr>
        <w:spacing w:line="276" w:lineRule="auto"/>
      </w:pPr>
      <w:r>
        <w:rPr>
          <w:rFonts w:ascii="Calibri" w:hAnsi="Calibri"/>
          <w:sz w:val="22"/>
        </w:rPr>
        <w:t>Strategic Implication — One line only.</w:t>
      </w:r>
    </w:p>
    <w:p/>
    <w:p>
      <w:r>
        <w:rPr>
          <w:rFonts w:ascii="Garamond" w:hAnsi="Garamond"/>
          <w:b/>
          <w:sz w:val="28"/>
        </w:rPr>
        <w:t>Company Stability &amp; Governance</w:t>
      </w:r>
    </w:p>
    <w:p>
      <w:pPr>
        <w:spacing w:line="276" w:lineRule="auto"/>
      </w:pPr>
      <w:r>
        <w:rPr>
          <w:rFonts w:ascii="Calibri" w:hAnsi="Calibri"/>
          <w:sz w:val="22"/>
        </w:rPr>
        <w:t>Score — 0 / 2</w:t>
      </w:r>
    </w:p>
    <w:p>
      <w:pPr>
        <w:spacing w:line="276" w:lineRule="auto"/>
      </w:pPr>
      <w:r>
        <w:rPr>
          <w:rFonts w:ascii="Calibri" w:hAnsi="Calibri"/>
          <w:sz w:val="22"/>
        </w:rPr>
        <w:t>Core structural read (1–2 lines).</w:t>
      </w:r>
    </w:p>
    <w:p>
      <w:pPr>
        <w:spacing w:line="276" w:lineRule="auto"/>
      </w:pPr>
      <w:r>
        <w:rPr>
          <w:rFonts w:ascii="Calibri" w:hAnsi="Calibri"/>
          <w:sz w:val="22"/>
        </w:rPr>
        <w:t>Strategic Implication — One line only.</w:t>
      </w:r>
    </w:p>
    <w:p/>
    <w:p>
      <w:r>
        <w:rPr>
          <w:rFonts w:ascii="Garamond" w:hAnsi="Garamond"/>
          <w:b/>
          <w:sz w:val="28"/>
        </w:rPr>
        <w:t>FIFWM Structural Risk</w:t>
      </w:r>
    </w:p>
    <w:p>
      <w:pPr>
        <w:spacing w:line="276" w:lineRule="auto"/>
      </w:pPr>
      <w:r>
        <w:rPr>
          <w:rFonts w:ascii="Calibri" w:hAnsi="Calibri"/>
          <w:sz w:val="22"/>
        </w:rPr>
        <w:t>Score — 1 / 2</w:t>
      </w:r>
    </w:p>
    <w:p>
      <w:pPr>
        <w:spacing w:line="276" w:lineRule="auto"/>
      </w:pPr>
      <w:r>
        <w:rPr>
          <w:rFonts w:ascii="Calibri" w:hAnsi="Calibri"/>
          <w:sz w:val="22"/>
        </w:rPr>
        <w:t>Core structural read (1–2 lines).</w:t>
      </w:r>
    </w:p>
    <w:p>
      <w:pPr>
        <w:spacing w:line="276" w:lineRule="auto"/>
      </w:pPr>
      <w:r>
        <w:rPr>
          <w:rFonts w:ascii="Calibri" w:hAnsi="Calibri"/>
          <w:sz w:val="22"/>
        </w:rPr>
        <w:t>Strategic Implication — One line only.</w:t>
      </w:r>
    </w:p>
    <w:p/>
    <w:p>
      <w:r>
        <w:rPr>
          <w:rFonts w:ascii="Garamond" w:hAnsi="Garamond"/>
          <w:b/>
          <w:sz w:val="28"/>
        </w:rPr>
        <w:t>Personal Fit &amp; Temperament</w:t>
      </w:r>
    </w:p>
    <w:p>
      <w:pPr>
        <w:spacing w:line="276" w:lineRule="auto"/>
      </w:pPr>
      <w:r>
        <w:rPr>
          <w:rFonts w:ascii="Calibri" w:hAnsi="Calibri"/>
          <w:sz w:val="22"/>
        </w:rPr>
        <w:t>Score — 0 / 2</w:t>
      </w:r>
    </w:p>
    <w:p>
      <w:pPr>
        <w:spacing w:line="276" w:lineRule="auto"/>
      </w:pPr>
      <w:r>
        <w:rPr>
          <w:rFonts w:ascii="Calibri" w:hAnsi="Calibri"/>
          <w:sz w:val="22"/>
        </w:rPr>
        <w:t>Core structural read (1–2 lines).</w:t>
      </w:r>
    </w:p>
    <w:p>
      <w:pPr>
        <w:spacing w:line="276" w:lineRule="auto"/>
      </w:pPr>
      <w:r>
        <w:rPr>
          <w:rFonts w:ascii="Calibri" w:hAnsi="Calibri"/>
          <w:sz w:val="22"/>
        </w:rPr>
        <w:t>Strategic Implication — One line only.</w:t>
      </w:r>
    </w:p>
    <w:p/>
    <w:p>
      <w:r>
        <w:rPr>
          <w:rFonts w:ascii="Garamond" w:hAnsi="Garamond"/>
          <w:b/>
          <w:sz w:val="28"/>
        </w:rPr>
        <w:t>Upside vs Downside Exposure</w:t>
      </w:r>
    </w:p>
    <w:p>
      <w:pPr>
        <w:spacing w:line="276" w:lineRule="auto"/>
      </w:pPr>
      <w:r>
        <w:rPr>
          <w:rFonts w:ascii="Calibri" w:hAnsi="Calibri"/>
          <w:sz w:val="22"/>
        </w:rPr>
        <w:t>Score — 1 / 2</w:t>
      </w:r>
    </w:p>
    <w:p>
      <w:pPr>
        <w:spacing w:line="276" w:lineRule="auto"/>
      </w:pPr>
      <w:r>
        <w:rPr>
          <w:rFonts w:ascii="Calibri" w:hAnsi="Calibri"/>
          <w:sz w:val="22"/>
        </w:rPr>
        <w:t>Core structural read (1–2 lines).</w:t>
      </w:r>
    </w:p>
    <w:p>
      <w:pPr>
        <w:spacing w:line="276" w:lineRule="auto"/>
      </w:pPr>
      <w:r>
        <w:rPr>
          <w:rFonts w:ascii="Calibri" w:hAnsi="Calibri"/>
          <w:sz w:val="22"/>
        </w:rPr>
        <w:t>Strategic Implication — One line only.</w:t>
      </w:r>
    </w:p>
    <w:p/>
    <w:p>
      <w:r>
        <w:br w:type="page"/>
      </w:r>
    </w:p>
    <w:p>
      <w:r>
        <w:rPr>
          <w:rFonts w:ascii="Garamond" w:hAnsi="Garamond"/>
          <w:b/>
          <w:sz w:val="36"/>
        </w:rPr>
        <w:t>Hybrid Exploration Plan (3–6 Months)</w:t>
      </w:r>
    </w:p>
    <w:p>
      <w:r>
        <w:rPr>
          <w:rFonts w:ascii="Garamond" w:hAnsi="Garamond"/>
          <w:b/>
          <w:sz w:val="28"/>
        </w:rPr>
        <w:t>Experiment 1 — Title</w:t>
      </w:r>
    </w:p>
    <w:p>
      <w:pPr>
        <w:spacing w:line="276" w:lineRule="auto"/>
      </w:pPr>
      <w:r>
        <w:rPr>
          <w:rFonts w:ascii="Calibri" w:hAnsi="Calibri"/>
          <w:sz w:val="22"/>
        </w:rPr>
        <w:t>Context note (1 line).</w:t>
      </w:r>
    </w:p>
    <w:p>
      <w:pPr>
        <w:spacing w:line="276" w:lineRule="auto"/>
      </w:pPr>
      <w:r>
        <w:rPr>
          <w:rFonts w:ascii="Calibri" w:hAnsi="Calibri"/>
          <w:sz w:val="22"/>
        </w:rPr>
        <w:t>Objective:</w:t>
      </w:r>
    </w:p>
    <w:p>
      <w:pPr>
        <w:spacing w:line="276" w:lineRule="auto"/>
      </w:pPr>
      <w:r>
        <w:rPr>
          <w:rFonts w:ascii="Calibri" w:hAnsi="Calibri"/>
          <w:sz w:val="22"/>
        </w:rPr>
        <w:t>Timeline:</w:t>
      </w:r>
    </w:p>
    <w:p>
      <w:pPr>
        <w:spacing w:line="276" w:lineRule="auto"/>
      </w:pPr>
      <w:r>
        <w:rPr>
          <w:rFonts w:ascii="Calibri" w:hAnsi="Calibri"/>
          <w:sz w:val="22"/>
        </w:rPr>
        <w:t>Success Signal:</w:t>
      </w:r>
    </w:p>
    <w:p>
      <w:pPr>
        <w:spacing w:line="276" w:lineRule="auto"/>
      </w:pPr>
      <w:r>
        <w:rPr>
          <w:rFonts w:ascii="Calibri" w:hAnsi="Calibri"/>
          <w:sz w:val="22"/>
        </w:rPr>
        <w:t>Abort Trigger:</w:t>
      </w:r>
    </w:p>
    <w:p/>
    <w:p>
      <w:r>
        <w:rPr>
          <w:rFonts w:ascii="Garamond" w:hAnsi="Garamond"/>
          <w:b/>
          <w:sz w:val="28"/>
        </w:rPr>
        <w:t>Experiment 2 — Title</w:t>
      </w:r>
    </w:p>
    <w:p>
      <w:pPr>
        <w:spacing w:line="276" w:lineRule="auto"/>
      </w:pPr>
      <w:r>
        <w:rPr>
          <w:rFonts w:ascii="Calibri" w:hAnsi="Calibri"/>
          <w:sz w:val="22"/>
        </w:rPr>
        <w:t>Context note (1 line).</w:t>
      </w:r>
    </w:p>
    <w:p>
      <w:pPr>
        <w:spacing w:line="276" w:lineRule="auto"/>
      </w:pPr>
      <w:r>
        <w:rPr>
          <w:rFonts w:ascii="Calibri" w:hAnsi="Calibri"/>
          <w:sz w:val="22"/>
        </w:rPr>
        <w:t>Objective:</w:t>
      </w:r>
    </w:p>
    <w:p>
      <w:pPr>
        <w:spacing w:line="276" w:lineRule="auto"/>
      </w:pPr>
      <w:r>
        <w:rPr>
          <w:rFonts w:ascii="Calibri" w:hAnsi="Calibri"/>
          <w:sz w:val="22"/>
        </w:rPr>
        <w:t>Timeline:</w:t>
      </w:r>
    </w:p>
    <w:p>
      <w:pPr>
        <w:spacing w:line="276" w:lineRule="auto"/>
      </w:pPr>
      <w:r>
        <w:rPr>
          <w:rFonts w:ascii="Calibri" w:hAnsi="Calibri"/>
          <w:sz w:val="22"/>
        </w:rPr>
        <w:t>Success Signal:</w:t>
      </w:r>
    </w:p>
    <w:p>
      <w:pPr>
        <w:spacing w:line="276" w:lineRule="auto"/>
      </w:pPr>
      <w:r>
        <w:rPr>
          <w:rFonts w:ascii="Calibri" w:hAnsi="Calibri"/>
          <w:sz w:val="22"/>
        </w:rPr>
        <w:t>Abort Trigger:</w:t>
      </w:r>
    </w:p>
    <w:p/>
    <w:p>
      <w:r>
        <w:rPr>
          <w:rFonts w:ascii="Garamond" w:hAnsi="Garamond"/>
          <w:b/>
          <w:sz w:val="28"/>
        </w:rPr>
        <w:t>Experiment 3 — Title</w:t>
      </w:r>
    </w:p>
    <w:p>
      <w:pPr>
        <w:spacing w:line="276" w:lineRule="auto"/>
      </w:pPr>
      <w:r>
        <w:rPr>
          <w:rFonts w:ascii="Calibri" w:hAnsi="Calibri"/>
          <w:sz w:val="22"/>
        </w:rPr>
        <w:t>Context note (1 line).</w:t>
      </w:r>
    </w:p>
    <w:p>
      <w:pPr>
        <w:spacing w:line="276" w:lineRule="auto"/>
      </w:pPr>
      <w:r>
        <w:rPr>
          <w:rFonts w:ascii="Calibri" w:hAnsi="Calibri"/>
          <w:sz w:val="22"/>
        </w:rPr>
        <w:t>Objective:</w:t>
      </w:r>
    </w:p>
    <w:p>
      <w:pPr>
        <w:spacing w:line="276" w:lineRule="auto"/>
      </w:pPr>
      <w:r>
        <w:rPr>
          <w:rFonts w:ascii="Calibri" w:hAnsi="Calibri"/>
          <w:sz w:val="22"/>
        </w:rPr>
        <w:t>Timeline:</w:t>
      </w:r>
    </w:p>
    <w:p>
      <w:pPr>
        <w:spacing w:line="276" w:lineRule="auto"/>
      </w:pPr>
      <w:r>
        <w:rPr>
          <w:rFonts w:ascii="Calibri" w:hAnsi="Calibri"/>
          <w:sz w:val="22"/>
        </w:rPr>
        <w:t>Success Signal:</w:t>
      </w:r>
    </w:p>
    <w:p>
      <w:pPr>
        <w:spacing w:line="276" w:lineRule="auto"/>
      </w:pPr>
      <w:r>
        <w:rPr>
          <w:rFonts w:ascii="Calibri" w:hAnsi="Calibri"/>
          <w:sz w:val="22"/>
        </w:rPr>
        <w:t>Abort Trigger:</w:t>
      </w:r>
    </w:p>
    <w:p/>
    <w:p>
      <w:r>
        <w:rPr>
          <w:rFonts w:ascii="Garamond" w:hAnsi="Garamond"/>
          <w:b/>
          <w:sz w:val="28"/>
        </w:rPr>
        <w:t>Decision Gate Rule</w:t>
      </w:r>
    </w:p>
    <w:p>
      <w:pPr>
        <w:spacing w:line="276" w:lineRule="auto"/>
      </w:pPr>
      <w:r>
        <w:rPr>
          <w:rFonts w:ascii="Calibri" w:hAnsi="Calibri"/>
          <w:sz w:val="22"/>
        </w:rPr>
        <w:t>Commitment appears structurally justified only if defined signals remain stable across review cycles.</w:t>
      </w:r>
    </w:p>
    <w:p>
      <w:r>
        <w:br w:type="page"/>
      </w:r>
    </w:p>
    <w:p>
      <w:r>
        <w:rPr>
          <w:rFonts w:ascii="Garamond" w:hAnsi="Garamond"/>
          <w:b/>
          <w:sz w:val="36"/>
        </w:rPr>
        <w:t>90-Day Execution Map</w:t>
      </w:r>
    </w:p>
    <w:p>
      <w:pPr>
        <w:spacing w:line="276" w:lineRule="auto"/>
      </w:pPr>
      <w:r>
        <w:rPr>
          <w:rFonts w:ascii="Calibri" w:hAnsi="Calibri"/>
          <w:sz w:val="22"/>
        </w:rPr>
        <w:t>Month 1 —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Month 2 —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Month 3 —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r>
        <w:br w:type="page"/>
      </w:r>
    </w:p>
    <w:p>
      <w:r>
        <w:rPr>
          <w:rFonts w:ascii="Garamond" w:hAnsi="Garamond"/>
          <w:b/>
          <w:sz w:val="36"/>
        </w:rPr>
        <w:t>Assumptions &amp; Critical Watch List</w:t>
      </w:r>
    </w:p>
    <w:p>
      <w:r>
        <w:rPr>
          <w:rFonts w:ascii="Garamond" w:hAnsi="Garamond"/>
          <w:b/>
          <w:sz w:val="28"/>
        </w:rPr>
        <w:t>Key Assumptions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r>
        <w:rPr>
          <w:rFonts w:ascii="Garamond" w:hAnsi="Garamond"/>
          <w:b/>
          <w:sz w:val="28"/>
        </w:rPr>
        <w:t>Critical Watch List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r>
        <w:br w:type="page"/>
      </w:r>
    </w:p>
    <w:p>
      <w:r>
        <w:rPr>
          <w:rFonts w:ascii="Garamond" w:hAnsi="Garamond"/>
          <w:b/>
          <w:sz w:val="28"/>
        </w:rPr>
        <w:t>AMC Framework Note</w:t>
      </w:r>
    </w:p>
    <w:p>
      <w:pPr>
        <w:spacing w:line="276" w:lineRule="auto"/>
      </w:pPr>
      <w:r>
        <w:rPr>
          <w:rFonts w:ascii="Calibri" w:hAnsi="Calibri"/>
          <w:sz w:val="22"/>
        </w:rPr>
        <w:t>This report applies the AMC Strategic Career Decision Architecture to map structural risk and decision exposure.</w:t>
      </w:r>
    </w:p>
    <w:sectPr w:rsidR="00FC693F" w:rsidRPr="0006063C" w:rsidSect="00034616">
      <w:pgSz w:w="12240" w:h="15840"/>
      <w:pgMar w:top="1440" w:right="1138" w:bottom="1440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