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aramond" w:hAnsi="Garamond"/>
          <w:b/>
          <w:sz w:val="40"/>
        </w:rPr>
        <w:t>AMC Strategic Career Decision Architecture</w:t>
      </w:r>
    </w:p>
    <w:p>
      <w:pPr>
        <w:spacing w:line="276" w:lineRule="auto"/>
      </w:pPr>
      <w:r>
        <w:rPr>
          <w:rFonts w:ascii="Calibri" w:hAnsi="Calibri"/>
          <w:sz w:val="22"/>
        </w:rPr>
        <w:t>Confidential Career Decision Report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Executive Overview</w:t>
      </w:r>
    </w:p>
    <w:p>
      <w:r>
        <w:rPr>
          <w:rFonts w:ascii="Garamond" w:hAnsi="Garamond"/>
          <w:b/>
          <w:sz w:val="28"/>
        </w:rPr>
        <w:t>Decision Verdict</w:t>
      </w:r>
    </w:p>
    <w:p>
      <w:pPr>
        <w:spacing w:line="276" w:lineRule="auto"/>
      </w:pPr>
      <w:r>
        <w:rPr>
          <w:rFonts w:ascii="Calibri" w:hAnsi="Calibri"/>
          <w:sz w:val="22"/>
        </w:rPr>
        <w:t>Pivot – Hold</w:t>
      </w:r>
    </w:p>
    <w:p/>
    <w:p>
      <w:r>
        <w:rPr>
          <w:rFonts w:ascii="Garamond" w:hAnsi="Garamond"/>
          <w:b/>
          <w:sz w:val="28"/>
        </w:rPr>
        <w:t>Executive Summary</w:t>
      </w:r>
    </w:p>
    <w:p>
      <w:pPr>
        <w:spacing w:before="40" w:after="40"/>
        <w:jc w:val="left"/>
      </w:pPr>
      <w:r>
        <w:rPr>
          <w:rFonts w:ascii="Calibri Light" w:hAnsi="Calibri Light" w:eastAsia="Calibri Light"/>
          <w:color w:val="7F7F7F"/>
          <w:sz w:val="18"/>
        </w:rPr>
        <w:t>Data completeness: High (qualitative signals available).</w:t>
      </w:r>
    </w:p>
    <w:p>
      <w:pPr>
        <w:spacing w:line="276" w:lineRule="auto"/>
      </w:pPr>
      <w:r>
        <w:rPr>
          <w:rFonts w:ascii="Calibri" w:hAnsi="Calibri"/>
          <w:sz w:val="22"/>
        </w:rPr>
        <w:t>Verdict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Outlook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Risk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Personal &amp; Exposure — One-line structural summary.</w:t>
      </w:r>
    </w:p>
    <w:p/>
    <w:p>
      <w:r>
        <w:rPr>
          <w:rFonts w:ascii="Garamond" w:hAnsi="Garamond"/>
          <w:b/>
          <w:sz w:val="28"/>
        </w:rPr>
        <w:t>Five-Factor Structural Matrix</w:t>
      </w:r>
    </w:p>
    <w:p>
      <w:r>
        <w:rPr>
          <w:sz w:val="20"/>
        </w:rPr>
        <w:t>Mobility and institutional friction appears moderate, with identifiable but manageable constraints.</w:t>
      </w:r>
    </w:p>
    <w:p>
      <w:r>
        <w:rPr>
          <w:sz w:val="20"/>
        </w:rPr>
        <w:t>Mobility &amp; Institutional</w:t>
      </w:r>
    </w:p>
    <w:p>
      <w:r>
        <w:rPr>
          <w:sz w:val="20"/>
        </w:rPr>
        <w:t>Signals indicate high gate dependency and concentrated selection pressure.</w:t>
      </w:r>
    </w:p>
    <w:p>
      <w:r>
        <w:rPr>
          <w:sz w:val="20"/>
        </w:rPr>
        <w:t>Credential &amp; Competition</w:t>
      </w:r>
    </w:p>
    <w:p>
      <w:r>
        <w:rPr>
          <w:sz w:val="20"/>
        </w:rPr>
        <w:t>Buffer resilience appears thin, and pressure remains concentrated in cash-flow stability.</w:t>
      </w:r>
    </w:p>
    <w:p>
      <w:r>
        <w:rPr>
          <w:sz w:val="20"/>
        </w:rPr>
        <w:t>Income / Buffer Pressure</w:t>
      </w:r>
    </w:p>
    <w:p>
      <w:r>
        <w:rPr>
          <w:sz w:val="20"/>
        </w:rPr>
        <w:t>Signals suggest a high-commit transition profile with constrained rollback options.</w:t>
      </w:r>
    </w:p>
    <w:p>
      <w:r>
        <w:rPr>
          <w:sz w:val="20"/>
        </w:rPr>
        <w:t>Transition Reality</w:t>
      </w:r>
    </w:p>
    <w:p>
      <w:r>
        <w:rPr>
          <w:sz w:val="20"/>
        </w:rPr>
        <w:t>External Snapshot</w:t>
      </w:r>
    </w:p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</w:tcPr>
          <w:p>
            <w:r>
              <w:t>Dimension</w:t>
            </w:r>
          </w:p>
        </w:tc>
        <w:tc>
          <w:tcPr>
            <w:tcW w:type="dxa" w:w="3321"/>
          </w:tcPr>
          <w:p>
            <w:r>
              <w:t>Score (0–2)</w:t>
            </w:r>
          </w:p>
        </w:tc>
        <w:tc>
          <w:tcPr>
            <w:tcW w:type="dxa" w:w="3321"/>
          </w:tcPr>
          <w:p>
            <w:r>
              <w:t>Visual</w:t>
            </w:r>
          </w:p>
        </w:tc>
      </w:tr>
      <w:tr>
        <w:tc>
          <w:tcPr>
            <w:tcW w:type="dxa" w:w="3321"/>
          </w:tcPr>
          <w:p>
            <w:r>
              <w:t>Market &amp; Role Outlook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▮▮▯▯▯</w:t>
            </w:r>
          </w:p>
        </w:tc>
      </w:tr>
      <w:tr>
        <w:tc>
          <w:tcPr>
            <w:tcW w:type="dxa" w:w="3321"/>
          </w:tcPr>
          <w:p>
            <w:r>
              <w:t>Company Stability &amp; Governance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▮▮▯▯▯</w:t>
            </w:r>
          </w:p>
        </w:tc>
      </w:tr>
      <w:tr>
        <w:tc>
          <w:tcPr>
            <w:tcW w:type="dxa" w:w="3321"/>
          </w:tcPr>
          <w:p>
            <w:r>
              <w:t>FIFWM Structural Risk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▮▮▯▯▯</w:t>
            </w:r>
          </w:p>
        </w:tc>
      </w:tr>
      <w:tr>
        <w:tc>
          <w:tcPr>
            <w:tcW w:type="dxa" w:w="3321"/>
          </w:tcPr>
          <w:p>
            <w:r>
              <w:t>Personal Fit &amp; Temperament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▮▮▯▯▯</w:t>
            </w:r>
          </w:p>
        </w:tc>
      </w:tr>
      <w:tr>
        <w:tc>
          <w:tcPr>
            <w:tcW w:type="dxa" w:w="3321"/>
          </w:tcPr>
          <w:p>
            <w:r>
              <w:t>Upside vs Downside Exposure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▮▮▯▯▯</w:t>
            </w:r>
          </w:p>
        </w:tc>
      </w:tr>
    </w:tbl>
    <w:p>
      <w:r>
        <w:br w:type="page"/>
      </w:r>
    </w:p>
    <w:p>
      <w:r>
        <w:rPr>
          <w:rFonts w:ascii="Garamond" w:hAnsi="Garamond"/>
          <w:b/>
          <w:sz w:val="36"/>
        </w:rPr>
        <w:t>Structural Diagnosis</w:t>
      </w:r>
    </w:p>
    <w:p>
      <w:r>
        <w:rPr>
          <w:rFonts w:ascii="Garamond" w:hAnsi="Garamond"/>
          <w:b/>
          <w:sz w:val="28"/>
        </w:rPr>
        <w:t>Market &amp; Role Outlook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Company Stability &amp; Governance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FIFWM Structural Risk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Personal Fit &amp; Temperament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Upside vs Downside Exposure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br w:type="page"/>
      </w:r>
    </w:p>
    <w:p>
      <w:r>
        <w:rPr>
          <w:rFonts w:ascii="Garamond" w:hAnsi="Garamond"/>
          <w:b/>
          <w:sz w:val="36"/>
        </w:rPr>
        <w:t>Hybrid Exploration Plan (3–6 Months)</w:t>
      </w:r>
    </w:p>
    <w:p>
      <w:r>
        <w:rPr>
          <w:rFonts w:ascii="Garamond" w:hAnsi="Garamond"/>
          <w:b/>
          <w:sz w:val="28"/>
        </w:rPr>
        <w:t>Experiment 1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2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3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Decision Gate Rule</w:t>
      </w:r>
    </w:p>
    <w:p>
      <w:pPr>
        <w:spacing w:line="276" w:lineRule="auto"/>
      </w:pPr>
      <w:r>
        <w:rPr>
          <w:rFonts w:ascii="Calibri" w:hAnsi="Calibri"/>
          <w:sz w:val="22"/>
        </w:rPr>
        <w:t>Commitment appears structurally justified only if defined signals remain stable across review cycles.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90-Day Execution Map</w:t>
      </w:r>
    </w:p>
    <w:p>
      <w:pPr>
        <w:spacing w:line="276" w:lineRule="auto"/>
      </w:pPr>
      <w:r>
        <w:rPr>
          <w:rFonts w:ascii="Calibri" w:hAnsi="Calibri"/>
          <w:sz w:val="22"/>
        </w:rPr>
        <w:t>Month 1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2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3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Assumptions &amp; Critical Watch List</w:t>
      </w:r>
    </w:p>
    <w:p>
      <w:r>
        <w:rPr>
          <w:rFonts w:ascii="Garamond" w:hAnsi="Garamond"/>
          <w:b/>
          <w:sz w:val="28"/>
        </w:rPr>
        <w:t>Key Assumptions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rPr>
          <w:rFonts w:ascii="Garamond" w:hAnsi="Garamond"/>
          <w:b/>
          <w:sz w:val="28"/>
        </w:rPr>
        <w:t>Critical Watch List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28"/>
        </w:rPr>
        <w:t>AMC Framework Note</w:t>
      </w:r>
    </w:p>
    <w:p>
      <w:pPr>
        <w:spacing w:line="276" w:lineRule="auto"/>
      </w:pPr>
      <w:r>
        <w:rPr>
          <w:rFonts w:ascii="Calibri" w:hAnsi="Calibri"/>
          <w:sz w:val="22"/>
        </w:rPr>
        <w:t>This report applies the AMC Strategic Career Decision Architecture to map structural risk and decision exposure.</w:t>
      </w:r>
    </w:p>
    <w:sectPr w:rsidR="00FC693F" w:rsidRPr="0006063C" w:rsidSect="00034616">
      <w:pgSz w:w="12240" w:h="15840"/>
      <w:pgMar w:top="1440" w:right="1138" w:bottom="1440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