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160"/>
      </w:pPr>
      <w:r>
        <w:rPr>
          <w:b w:val="0"/>
        </w:rPr>
        <w:t>Behavioral profile suggests strong commitment once direction is chosen.</w:t>
      </w:r>
    </w:p>
    <w:p>
      <w:pPr>
        <w:spacing w:after="0"/>
      </w:pPr>
      <w:r>
        <w:rPr>
          <w:b w:val="0"/>
        </w:rPr>
        <w:t>Temperament Summary</w:t>
      </w:r>
    </w:p>
    <w:p>
      <w:pPr>
        <w:spacing w:after="160"/>
      </w:pPr>
      <w:r>
        <w:rPr>
          <w:b w:val="0"/>
        </w:rPr>
        <w:t>This decision suggests a structural expansion from the current path into an adjacent domain.</w:t>
      </w:r>
    </w:p>
    <w:p>
      <w:pPr>
        <w:spacing w:after="0"/>
      </w:pPr>
      <w:r>
        <w:rPr>
          <w:b w:val="0"/>
        </w:rPr>
        <w:t>Mobility Summary</w:t>
      </w:r>
    </w:p>
    <w:p>
      <w:pPr>
        <w:spacing w:after="160"/>
      </w:pPr>
      <w:r>
        <w:rPr>
          <w:b w:val="0"/>
        </w:rPr>
        <w:t>Current path protects near-term stability, while transition value remains conditional under tighter safety margins.</w:t>
      </w:r>
    </w:p>
    <w:p>
      <w:pPr>
        <w:spacing w:after="0"/>
      </w:pPr>
      <w:r>
        <w:rPr>
          <w:b w:val="0"/>
        </w:rPr>
        <w:t>Value Summary</w:t>
      </w:r>
    </w:p>
    <w:p>
      <w:pPr>
        <w:spacing w:after="160"/>
      </w:pPr>
      <w:r>
        <w:rPr>
          <w:b w:val="0"/>
        </w:rPr>
        <w:t>Structural risk appears concentrated in downside pressure, transition irreversibility, and gate dependency.</w:t>
      </w:r>
    </w:p>
    <w:p>
      <w:pPr>
        <w:spacing w:after="0"/>
      </w:pPr>
      <w:r>
        <w:rPr>
          <w:b w:val="0"/>
        </w:rPr>
        <w:t>Risk Summary</w:t>
      </w:r>
    </w:p>
    <w:p>
      <w:pPr>
        <w:spacing w:after="160"/>
      </w:pPr>
      <w:r>
        <w:rPr>
          <w:b w:val="0"/>
        </w:rPr>
        <w:t>Structural upside remains conditional, with near-term pressure concentrated in key transition variables.</w:t>
      </w:r>
    </w:p>
    <w:p>
      <w:pPr>
        <w:spacing w:after="0"/>
      </w:pPr>
      <w:r>
        <w:rPr>
          <w:b w:val="0"/>
        </w:rPr>
        <w:t>Core Structural Insight</w:t>
      </w:r>
    </w:p>
    <w:p>
      <w:pPr>
        <w:spacing w:after="160"/>
      </w:pPr>
      <w:r>
        <w:rPr>
          <w:b w:val="0"/>
        </w:rPr>
        <w:t>Pivot – Hold</w:t>
      </w:r>
    </w:p>
    <w:p>
      <w:pPr>
        <w:spacing w:after="0"/>
      </w:pPr>
      <w:r>
        <w:rPr>
          <w:b w:val="0"/>
        </w:rPr>
        <w:t>Structural Reading</w:t>
      </w:r>
    </w:p>
    <w:p>
      <w:pPr>
        <w:spacing w:after="200"/>
      </w:pPr>
      <w:r>
        <w:rPr>
          <w:b/>
        </w:rPr>
        <w:t>Executive Dashboard</w:t>
      </w:r>
    </w:p>
    <w:p>
      <w:r>
        <w:rPr>
          <w:rFonts w:ascii="Garamond" w:hAnsi="Garamond"/>
          <w:b/>
          <w:sz w:val="40"/>
        </w:rPr>
        <w:t>AMC Strategic Career Decision Architecture</w:t>
      </w:r>
    </w:p>
    <w:p>
      <w:pPr>
        <w:spacing w:line="276" w:lineRule="auto"/>
      </w:pPr>
      <w:r>
        <w:rPr>
          <w:rFonts w:ascii="Calibri" w:hAnsi="Calibri"/>
          <w:sz w:val="22"/>
        </w:rPr>
        <w:t>Confidential Career Decision Report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Executive Overview</w:t>
      </w:r>
    </w:p>
    <w:p>
      <w:pPr>
        <w:spacing w:line="276" w:lineRule="auto"/>
      </w:pPr>
      <w:r>
        <w:rPr>
          <w:rFonts w:ascii="Calibri" w:hAnsi="Calibri"/>
          <w:sz w:val="22"/>
        </w:rPr>
        <w:t>Pivot – Hold</w:t>
      </w:r>
    </w:p>
    <w:p/>
    <w:p>
      <w:r>
        <w:rPr>
          <w:rFonts w:ascii="Garamond" w:hAnsi="Garamond"/>
          <w:b/>
          <w:sz w:val="28"/>
        </w:rPr>
        <w:t>Executive Summary</w:t>
      </w:r>
    </w:p>
    <w:p>
      <w:pPr>
        <w:spacing w:before="40" w:after="40"/>
        <w:jc w:val="left"/>
      </w:pPr>
      <w:r>
        <w:rPr>
          <w:rFonts w:ascii="Calibri Light" w:hAnsi="Calibri Light" w:eastAsia="Calibri Light"/>
          <w:color w:val="7F7F7F"/>
          <w:sz w:val="18"/>
        </w:rPr>
        <w:t>Data completeness: High (qualitative signals available).</w:t>
      </w:r>
    </w:p>
    <w:p>
      <w:pPr>
        <w:spacing w:line="276" w:lineRule="auto"/>
      </w:pPr>
      <w:r>
        <w:rPr>
          <w:rFonts w:ascii="Calibri" w:hAnsi="Calibri"/>
          <w:sz w:val="22"/>
        </w:rPr>
        <w:t>Verdict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Outlook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Risk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Personal &amp; Exposure — One-line structural summary.</w:t>
      </w:r>
    </w:p>
    <w:p/>
    <w:p>
      <w:r>
        <w:rPr>
          <w:b/>
        </w:rPr>
        <w:t>External Snapshot</w:t>
      </w:r>
    </w:p>
    <w:p>
      <w:r>
        <w:rPr>
          <w:b w:val="0"/>
        </w:rPr>
        <w:t>External Snapshot — Industry Transition</w:t>
      </w:r>
    </w:p>
    <w:p>
      <w:r>
        <w:rPr>
          <w:b w:val="0"/>
        </w:rPr>
        <w:t>Market Direction</w:t>
      </w:r>
    </w:p>
    <w:p>
      <w:r>
        <w:rPr>
          <w:b w:val="0"/>
        </w:rPr>
        <w:t>Market direction appears mixed, with directional visibility present but still moderated by external policy and cycle uncertainty.</w:t>
      </w:r>
    </w:p>
    <w:p>
      <w:r>
        <w:rPr>
          <w:b w:val="0"/>
        </w:rPr>
        <w:t>Competition Pressure</w:t>
      </w:r>
    </w:p>
    <w:p>
      <w:r>
        <w:rPr>
          <w:b w:val="0"/>
        </w:rPr>
        <w:t>Competition pressure appears high, with screening intensity concentrated in credential gates and differentiated positioning requirements.</w:t>
      </w:r>
    </w:p>
    <w:p>
      <w:r>
        <w:rPr>
          <w:b w:val="0"/>
        </w:rPr>
        <w:t>Economic Pressure</w:t>
      </w:r>
    </w:p>
    <w:p>
      <w:r>
        <w:rPr>
          <w:b w:val="0"/>
        </w:rPr>
        <w:t>Economic pressure appears elevated, as near-term income continuity and downside buffer resilience remain structurally constrained.</w:t>
      </w:r>
    </w:p>
    <w:p>
      <w:r>
        <w:rPr>
          <w:b w:val="0"/>
        </w:rPr>
        <w:t>Transition Friction</w:t>
      </w:r>
    </w:p>
    <w:p>
      <w:r>
        <w:rPr>
          <w:b w:val="0"/>
        </w:rPr>
        <w:t>Transition friction appears high, with path irreversibility and mobility constraints increasing execution drag across commitment stages.</w:t>
      </w:r>
    </w:p>
    <w:p>
      <w:r>
        <w:rPr>
          <w:b/>
        </w:rPr>
        <w:t>External Comparative Snapshot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</w:tcPr>
          <w:p>
            <w:r>
              <w:t>Dimension</w:t>
            </w:r>
          </w:p>
        </w:tc>
        <w:tc>
          <w:tcPr>
            <w:tcW w:type="dxa" w:w="3321"/>
          </w:tcPr>
          <w:p>
            <w:r>
              <w:t>Option A</w:t>
            </w:r>
          </w:p>
        </w:tc>
        <w:tc>
          <w:tcPr>
            <w:tcW w:type="dxa" w:w="3321"/>
          </w:tcPr>
          <w:p>
            <w:r>
              <w:t>Option B</w:t>
            </w:r>
          </w:p>
        </w:tc>
      </w:tr>
      <w:tr>
        <w:tc>
          <w:tcPr>
            <w:tcW w:type="dxa" w:w="3321"/>
          </w:tcPr>
          <w:p>
            <w:r>
              <w:t>Market Direction</w:t>
            </w:r>
          </w:p>
        </w:tc>
        <w:tc>
          <w:tcPr>
            <w:tcW w:type="dxa" w:w="3321"/>
          </w:tcPr>
          <w:p>
            <w:r>
              <w:t>Option A aligns with known market conditions, preserving directional visibility through lower external variance.</w:t>
            </w:r>
          </w:p>
        </w:tc>
        <w:tc>
          <w:tcPr>
            <w:tcW w:type="dxa" w:w="3321"/>
          </w:tcPr>
          <w:p>
            <w:r>
              <w:t>Option B offers broader repositioning exposure, though directional visibility remains more sensitive to cycle and policy variance.</w:t>
            </w:r>
          </w:p>
        </w:tc>
      </w:tr>
      <w:tr>
        <w:tc>
          <w:tcPr>
            <w:tcW w:type="dxa" w:w="3321"/>
          </w:tcPr>
          <w:p>
            <w:r>
              <w:t>Competition Pressure</w:t>
            </w:r>
          </w:p>
        </w:tc>
        <w:tc>
          <w:tcPr>
            <w:tcW w:type="dxa" w:w="3321"/>
          </w:tcPr>
          <w:p>
            <w:r>
              <w:t>Option A carries moderate competition pressure with transferable positioning from the current path architecture.</w:t>
            </w:r>
          </w:p>
        </w:tc>
        <w:tc>
          <w:tcPr>
            <w:tcW w:type="dxa" w:w="3321"/>
          </w:tcPr>
          <w:p>
            <w:r>
              <w:t>Option B carries higher competitive uncertainty, with differentiation requirements increasing during early positioning stages.</w:t>
            </w:r>
          </w:p>
        </w:tc>
      </w:tr>
      <w:tr>
        <w:tc>
          <w:tcPr>
            <w:tcW w:type="dxa" w:w="3321"/>
          </w:tcPr>
          <w:p>
            <w:r>
              <w:t>Economic Pressure</w:t>
            </w:r>
          </w:p>
        </w:tc>
        <w:tc>
          <w:tcPr>
            <w:tcW w:type="dxa" w:w="3321"/>
          </w:tcPr>
          <w:p>
            <w:r>
              <w:t>Option A preserves stronger continuity under tighter downside constraints, with lower near-term economic disruption risk.</w:t>
            </w:r>
          </w:p>
        </w:tc>
        <w:tc>
          <w:tcPr>
            <w:tcW w:type="dxa" w:w="3321"/>
          </w:tcPr>
          <w:p>
            <w:r>
              <w:t>Option B carries greater repositioning potential with higher structural friction and less near-term continuity.</w:t>
            </w:r>
          </w:p>
        </w:tc>
      </w:tr>
      <w:tr>
        <w:tc>
          <w:tcPr>
            <w:tcW w:type="dxa" w:w="3321"/>
          </w:tcPr>
          <w:p>
            <w:r>
              <w:t>Transition Friction</w:t>
            </w:r>
          </w:p>
        </w:tc>
        <w:tc>
          <w:tcPr>
            <w:tcW w:type="dxa" w:w="3321"/>
          </w:tcPr>
          <w:p>
            <w:r>
              <w:t>Option A maintains lower transition friction, supported by higher reversibility and reduced mobility burden.</w:t>
            </w:r>
          </w:p>
        </w:tc>
        <w:tc>
          <w:tcPr>
            <w:tcW w:type="dxa" w:w="3321"/>
          </w:tcPr>
          <w:p>
            <w:r>
              <w:t>Option B carries higher structural friction, with mobility and path-commit constraints increasing execution drag.</w:t>
            </w:r>
          </w:p>
        </w:tc>
      </w:tr>
    </w:tbl>
    <w:p>
      <w:r>
        <w:t>Comparative Reading</w:t>
      </w:r>
    </w:p>
    <w:p>
      <w:r>
        <w:t>The two options differ primarily in continuity, external pressure, and transition cost.</w:t>
      </w:r>
    </w:p>
    <w:p>
      <w:r>
        <w:t>Comparative Implication</w:t>
      </w:r>
    </w:p>
    <w:p>
      <w:r>
        <w:t>The core trade-off lies between preserved continuity and greater long-horizon repositioning.</w:t>
      </w:r>
    </w:p>
    <w:p>
      <w:r>
        <w:rPr>
          <w:rFonts w:ascii="Garamond" w:hAnsi="Garamond"/>
          <w:b/>
          <w:sz w:val="28"/>
        </w:rPr>
        <w:t>Five-Factor Structural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</w:tcPr>
          <w:p>
            <w:r>
              <w:t>Dimension</w:t>
            </w:r>
          </w:p>
        </w:tc>
        <w:tc>
          <w:tcPr>
            <w:tcW w:type="dxa" w:w="3321"/>
          </w:tcPr>
          <w:p>
            <w:r>
              <w:t>Score (0–2)</w:t>
            </w:r>
          </w:p>
        </w:tc>
        <w:tc>
          <w:tcPr>
            <w:tcW w:type="dxa" w:w="3321"/>
          </w:tcPr>
          <w:p>
            <w:r>
              <w:t>Visual</w:t>
            </w:r>
          </w:p>
        </w:tc>
      </w:tr>
      <w:tr>
        <w:tc>
          <w:tcPr>
            <w:tcW w:type="dxa" w:w="3321"/>
          </w:tcPr>
          <w:p>
            <w:r>
              <w:t>Market &amp; Role Outlook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Company Stability &amp; Governance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FIFWM Structural Risk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Personal Fit &amp; Temperament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Upside vs Downside Exposure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</w:tbl>
    <w:p>
      <w:r>
        <w:br w:type="page"/>
      </w:r>
    </w:p>
    <w:p>
      <w:r>
        <w:rPr>
          <w:rFonts w:ascii="Garamond" w:hAnsi="Garamond"/>
          <w:b/>
          <w:sz w:val="36"/>
        </w:rPr>
        <w:t>Structural Diagnosis</w:t>
      </w:r>
    </w:p>
    <w:p>
      <w:r>
        <w:rPr>
          <w:rFonts w:ascii="Garamond" w:hAnsi="Garamond"/>
          <w:b/>
          <w:sz w:val="28"/>
        </w:rPr>
        <w:t>Market &amp; Role Outlook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Company Stability &amp; Governance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FIFWM Structural Risk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Personal Fit &amp; Temperament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Upside vs Downside Exposure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br w:type="page"/>
      </w:r>
    </w:p>
    <w:p>
      <w:r>
        <w:rPr>
          <w:rFonts w:ascii="Garamond" w:hAnsi="Garamond"/>
          <w:b/>
          <w:sz w:val="36"/>
        </w:rPr>
        <w:t>Hybrid Exploration Plan (3–6 Months)</w:t>
      </w:r>
    </w:p>
    <w:p>
      <w:r>
        <w:rPr>
          <w:rFonts w:ascii="Garamond" w:hAnsi="Garamond"/>
          <w:b/>
          <w:sz w:val="28"/>
        </w:rPr>
        <w:t>Experiment 1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2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3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Commitment Condition</w:t>
      </w:r>
    </w:p>
    <w:p>
      <w:pPr>
        <w:spacing w:line="276" w:lineRule="auto"/>
      </w:pPr>
      <w:r>
        <w:rPr>
          <w:rFonts w:ascii="Calibri" w:hAnsi="Calibri"/>
          <w:sz w:val="22"/>
        </w:rPr>
        <w:t>Commitment appears structurally justified only if defined signals remain stable across review cycles.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90-Day Execution Map</w:t>
      </w:r>
    </w:p>
    <w:p>
      <w:pPr>
        <w:spacing w:line="276" w:lineRule="auto"/>
      </w:pPr>
      <w:r>
        <w:rPr>
          <w:rFonts w:ascii="Calibri" w:hAnsi="Calibri"/>
          <w:sz w:val="22"/>
        </w:rPr>
        <w:t>Month 1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2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3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Assumptions &amp; Critical Watch List</w:t>
      </w:r>
    </w:p>
    <w:p>
      <w:r>
        <w:rPr>
          <w:rFonts w:ascii="Garamond" w:hAnsi="Garamond"/>
          <w:b/>
          <w:sz w:val="28"/>
        </w:rPr>
        <w:t>Key Assumptions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rPr>
          <w:rFonts w:ascii="Garamond" w:hAnsi="Garamond"/>
          <w:b/>
          <w:sz w:val="28"/>
        </w:rPr>
        <w:t>Critical Watch List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28"/>
        </w:rPr>
        <w:t>AMC Framework Note</w:t>
      </w:r>
    </w:p>
    <w:p>
      <w:pPr>
        <w:spacing w:line="276" w:lineRule="auto"/>
      </w:pPr>
      <w:r>
        <w:rPr>
          <w:rFonts w:ascii="Calibri" w:hAnsi="Calibri"/>
          <w:sz w:val="22"/>
        </w:rPr>
        <w:t>This report applies the AMC Strategic Career Decision Architecture to map structural risk and decision exposure.</w:t>
      </w:r>
    </w:p>
    <w:p>
      <w:r>
        <w:rPr>
          <w:b/>
        </w:rPr>
        <w:t>Career Mobility Structure</w:t>
      </w:r>
    </w:p>
    <w:p>
      <w:r>
        <w:rPr>
          <w:b/>
        </w:rPr>
        <w:t>Strategic Temperament</w:t>
      </w:r>
    </w:p>
    <w:p>
      <w:r>
        <w:t>Temperament Profile</w:t>
      </w:r>
    </w:p>
    <w:p>
      <w:r>
        <w:t>Enterprising leaning</w:t>
      </w:r>
    </w:p>
    <w:p>
      <w:r>
        <w:t>Temperament Reading</w:t>
      </w:r>
    </w:p>
    <w:p>
      <w:r>
        <w:t>Behavioral profile suggests strong commitment once direction is chosen.</w:t>
      </w:r>
    </w:p>
    <w:p>
      <w:r>
        <w:t>Temperament Implication</w:t>
      </w:r>
    </w:p>
    <w:p>
      <w:r>
        <w:t>This increases tolerance for high-friction moves if structural upside remains credible.</w:t>
      </w:r>
    </w:p>
    <w:p>
      <w:r>
        <w:t>Mobility Type</w:t>
      </w:r>
    </w:p>
    <w:p>
      <w:r>
        <w:t>Category Expansion</w:t>
      </w:r>
    </w:p>
    <w:p>
      <w:r>
        <w:t>Mobility Reading</w:t>
      </w:r>
    </w:p>
    <w:p>
      <w:r>
        <w:t>This decision suggests a structural expansion from the current path into an adjacent domain.</w:t>
      </w:r>
    </w:p>
    <w:p>
      <w:r>
        <w:t>Mobility Implication</w:t>
      </w:r>
    </w:p>
    <w:p>
      <w:r>
        <w:t>Skill transfer remains partially intact, though positioning must be re-established.</w:t>
      </w:r>
    </w:p>
    <w:p>
      <w:r>
        <w:rPr>
          <w:b w:val="0"/>
        </w:rPr>
        <w:t>Internal Structural Snapshot</w:t>
      </w:r>
    </w:p>
    <w:p>
      <w:r>
        <w:t>Structural risk appears concentrated in downside pressure, transition irreversibility, and gate dependency.</w:t>
      </w:r>
    </w:p>
    <w:p>
      <w:r>
        <w:rPr>
          <w:b/>
        </w:rPr>
        <w:t>Career Value Structure</w:t>
      </w:r>
    </w:p>
    <w:p>
      <w:r>
        <w:t>Current Path</w:t>
      </w:r>
    </w:p>
    <w:p>
      <w:r>
        <w:t>Established role continuity with preserved income structure.</w:t>
      </w:r>
    </w:p>
    <w:p>
      <w:r>
        <w:t>Transition Path</w:t>
      </w:r>
    </w:p>
    <w:p>
      <w:r>
        <w:t>Reduced immediate stability with greater structural re-positioning potential.</w:t>
      </w:r>
    </w:p>
    <w:p>
      <w:r>
        <w:t>Value Reading</w:t>
      </w:r>
    </w:p>
    <w:p>
      <w:r>
        <w:t>Current path protects near-term stability, while transition value remains conditional under tighter safety margins.</w:t>
      </w:r>
    </w:p>
    <w:p>
      <w:r>
        <w:t>Value Implication</w:t>
      </w:r>
    </w:p>
    <w:p>
      <w:r>
        <w:t>Primary tension is the balance between downside compression and future positioning optionality.</w:t>
      </w:r>
    </w:p>
    <w:sectPr w:rsidR="00FC693F" w:rsidRPr="0006063C" w:rsidSect="00034616">
      <w:pgSz w:w="12240" w:h="15840"/>
      <w:pgMar w:top="1440" w:right="1138" w:bottom="1440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