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60"/>
      </w:pPr>
      <w:r>
        <w:rPr>
          <w:b w:val="0"/>
        </w:rPr>
        <w:t>Behavioral profile suggests strong commitment once direction is chosen.</w:t>
      </w:r>
    </w:p>
    <w:p>
      <w:pPr>
        <w:spacing w:after="0"/>
      </w:pPr>
      <w:r>
        <w:rPr>
          <w:b w:val="0"/>
        </w:rPr>
        <w:t>Temperament Summary</w:t>
      </w:r>
    </w:p>
    <w:p>
      <w:pPr>
        <w:spacing w:after="160"/>
      </w:pPr>
      <w:r>
        <w:rPr>
          <w:b w:val="0"/>
        </w:rPr>
        <w:t>This decision suggests a structural expansion from the current path into an adjacent domain.</w:t>
      </w:r>
    </w:p>
    <w:p>
      <w:pPr>
        <w:spacing w:after="0"/>
      </w:pPr>
      <w:r>
        <w:rPr>
          <w:b w:val="0"/>
        </w:rPr>
        <w:t>Mobility Summary</w:t>
      </w:r>
    </w:p>
    <w:p>
      <w:pPr>
        <w:spacing w:after="160"/>
      </w:pPr>
      <w:r>
        <w:rPr>
          <w:b w:val="0"/>
        </w:rPr>
        <w:t>Current path protects near-term stability, while transition value remains conditional under tighter safety margins.</w:t>
      </w:r>
    </w:p>
    <w:p>
      <w:pPr>
        <w:spacing w:after="0"/>
      </w:pPr>
      <w:r>
        <w:rPr>
          <w:b w:val="0"/>
        </w:rPr>
        <w:t>Value Summary</w:t>
      </w:r>
    </w:p>
    <w:p>
      <w:pPr>
        <w:spacing w:after="160"/>
      </w:pPr>
      <w:r>
        <w:rPr>
          <w:b w:val="0"/>
        </w:rPr>
        <w:t>Structural risk appears concentrated in downside pressure, transition irreversibility, and gate dependency.</w:t>
      </w:r>
    </w:p>
    <w:p>
      <w:pPr>
        <w:spacing w:after="0"/>
      </w:pPr>
      <w:r>
        <w:rPr>
          <w:b w:val="0"/>
        </w:rPr>
        <w:t>Risk Summary</w:t>
      </w:r>
    </w:p>
    <w:p>
      <w:pPr>
        <w:spacing w:after="160"/>
      </w:pPr>
      <w:r>
        <w:rPr>
          <w:b w:val="0"/>
        </w:rPr>
        <w:t>Structural upside remains conditional, with near-term pressure concentrated in key transition variables.</w:t>
      </w:r>
    </w:p>
    <w:p>
      <w:pPr>
        <w:spacing w:after="0"/>
      </w:pPr>
      <w:r>
        <w:rPr>
          <w:b w:val="0"/>
        </w:rPr>
        <w:t>Core Structural Insight</w:t>
      </w:r>
    </w:p>
    <w:p>
      <w:pPr>
        <w:spacing w:after="160"/>
      </w:pPr>
      <w:r>
        <w:rPr>
          <w:b w:val="0"/>
        </w:rPr>
        <w:t>Pivot – Hold</w:t>
      </w:r>
    </w:p>
    <w:p>
      <w:pPr>
        <w:spacing w:after="0"/>
      </w:pPr>
      <w:r>
        <w:rPr>
          <w:b w:val="0"/>
        </w:rPr>
        <w:t>Structural Reading</w:t>
      </w:r>
    </w:p>
    <w:p>
      <w:pPr>
        <w:spacing w:after="200"/>
      </w:pPr>
      <w:r>
        <w:rPr>
          <w:b/>
        </w:rPr>
        <w:t>Executive Dashboard</w:t>
      </w:r>
    </w:p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t>External Snapshot Type: industry_transition</w:t>
      </w:r>
    </w:p>
    <w:p>
      <w:r>
        <w:t>Hiring demand appears cyclical with moderate sensitivity to macro conditions.</w:t>
        <w:br/>
        <w:t>Signals indicate moderate competition with differentiation driven by domain expertise.</w:t>
        <w:br/>
        <w:t>Compensation bands remain relatively stable while upside dispersion increases at senior levels.</w:t>
        <w:br/>
        <w:t>Transition feasibility depends primarily on network access and role-specific signaling.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Commitment Condition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rPr>
          <w:b/>
        </w:rPr>
        <w:t>Strategic Temperament</w:t>
      </w:r>
    </w:p>
    <w:p>
      <w:r>
        <w:t>Temperament Profile</w:t>
      </w:r>
    </w:p>
    <w:p>
      <w:r>
        <w:t>Enterprising leaning</w:t>
      </w:r>
    </w:p>
    <w:p>
      <w:r>
        <w:t>Temperament Reading</w:t>
      </w:r>
    </w:p>
    <w:p>
      <w:r>
        <w:t>Behavioral profile suggests strong commitment once direction is chosen.</w:t>
      </w:r>
    </w:p>
    <w:p>
      <w:r>
        <w:t>Temperament Implication</w:t>
      </w:r>
    </w:p>
    <w:p>
      <w:r>
        <w:t>This increases tolerance for high-friction moves if structural upside remains credible.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p>
      <w:r>
        <w:rPr>
          <w:b w:val="0"/>
        </w:rPr>
        <w:t>Internal Structural Snapshot</w:t>
      </w:r>
    </w:p>
    <w:p>
      <w:r>
        <w:t>Structural risk appears concentrated in downside pressure, transition irreversibility, and gate dependency.</w:t>
      </w:r>
    </w:p>
    <w:p>
      <w:r>
        <w:rPr>
          <w:b/>
        </w:rPr>
        <w:t>Career Value Structure</w:t>
      </w:r>
    </w:p>
    <w:p>
      <w:r>
        <w:t>Current Path</w:t>
      </w:r>
    </w:p>
    <w:p>
      <w:r>
        <w:t>Established role continuity with preserved income structure.</w:t>
      </w:r>
    </w:p>
    <w:p>
      <w:r>
        <w:t>Transition Path</w:t>
      </w:r>
    </w:p>
    <w:p>
      <w:r>
        <w:t>Reduced immediate stability with greater structural re-positioning potential.</w:t>
      </w:r>
    </w:p>
    <w:p>
      <w:r>
        <w:t>Value Reading</w:t>
      </w:r>
    </w:p>
    <w:p>
      <w:r>
        <w:t>Current path protects near-term stability, while transition value remains conditional under tighter safety margins.</w:t>
      </w:r>
    </w:p>
    <w:p>
      <w:r>
        <w:t>Value Implication</w:t>
      </w:r>
    </w:p>
    <w:p>
      <w:r>
        <w:t>Primary tension is the balance between downside compression and future positioning optionality.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