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80"/>
      </w:pPr>
    </w:p>
    <w:p>
      <w:pPr>
        <w:spacing w:after="160"/>
      </w:pPr>
      <w:r>
        <w:rPr>
          <w:b w:val="0"/>
        </w:rPr>
        <w:t>Behavioral profile suggests strong commitment once direction is chosen.</w:t>
      </w:r>
    </w:p>
    <w:p>
      <w:pPr>
        <w:spacing w:after="0"/>
      </w:pPr>
      <w:r>
        <w:rPr>
          <w:b w:val="0"/>
        </w:rPr>
        <w:t>Temperament Summary</w:t>
      </w:r>
    </w:p>
    <w:p>
      <w:pPr>
        <w:spacing w:after="160"/>
      </w:pPr>
      <w:r>
        <w:rPr>
          <w:b w:val="0"/>
        </w:rPr>
        <w:t>This decision suggests a structural expansion from the current path into an adjacent domain.</w:t>
      </w:r>
    </w:p>
    <w:p>
      <w:pPr>
        <w:spacing w:after="0"/>
      </w:pPr>
      <w:r>
        <w:rPr>
          <w:b w:val="0"/>
        </w:rPr>
        <w:t>Mobility Summary</w:t>
      </w:r>
    </w:p>
    <w:p>
      <w:pPr>
        <w:spacing w:after="160"/>
      </w:pPr>
      <w:r>
        <w:rPr>
          <w:b w:val="0"/>
        </w:rPr>
        <w:t>Current path protects near-term stability, while transition value remains conditional under tighter safety margins.</w:t>
      </w:r>
    </w:p>
    <w:p>
      <w:pPr>
        <w:spacing w:after="0"/>
      </w:pPr>
      <w:r>
        <w:rPr>
          <w:b w:val="0"/>
        </w:rPr>
        <w:t>Value Summary</w:t>
      </w:r>
    </w:p>
    <w:p>
      <w:pPr>
        <w:spacing w:after="160"/>
      </w:pPr>
      <w:r>
        <w:rPr>
          <w:b w:val="0"/>
        </w:rPr>
        <w:t>Structural risk appears concentrated in downside pressure, transition irreversibility, and gate dependency.</w:t>
      </w:r>
    </w:p>
    <w:p>
      <w:pPr>
        <w:spacing w:after="0"/>
      </w:pPr>
      <w:r>
        <w:rPr>
          <w:b w:val="0"/>
        </w:rPr>
        <w:t>Risk Summary</w:t>
      </w:r>
    </w:p>
    <w:p>
      <w:pPr>
        <w:spacing w:after="160"/>
      </w:pPr>
      <w:r>
        <w:rPr>
          <w:b w:val="0"/>
        </w:rPr>
        <w:t>Structural upside remains conditional, with near-term pressure concentrated in key transition variables.</w:t>
      </w:r>
    </w:p>
    <w:p>
      <w:pPr>
        <w:spacing w:after="0"/>
      </w:pPr>
      <w:r>
        <w:rPr>
          <w:b w:val="0"/>
        </w:rPr>
        <w:t>Core Structural Insight</w:t>
      </w:r>
    </w:p>
    <w:p>
      <w:pPr>
        <w:spacing w:after="160"/>
      </w:pPr>
      <w:r>
        <w:rPr>
          <w:b w:val="0"/>
        </w:rPr>
        <w:t>Pivot – Hold</w:t>
      </w:r>
    </w:p>
    <w:p>
      <w:pPr>
        <w:spacing w:after="0"/>
      </w:pPr>
      <w:r>
        <w:rPr>
          <w:b w:val="0"/>
        </w:rPr>
        <w:t>Structural Reading</w:t>
      </w:r>
    </w:p>
    <w:p>
      <w:pPr>
        <w:spacing w:after="200"/>
      </w:pPr>
      <w:r>
        <w:rPr>
          <w:b/>
        </w:rPr>
        <w:t>Executive Dashboard</w:t>
      </w:r>
    </w:p>
    <w:p>
      <w:r>
        <w:rPr>
          <w:rFonts w:ascii="Garamond" w:hAnsi="Garamond"/>
          <w:b/>
          <w:sz w:val="40"/>
        </w:rPr>
        <w:t>AMC Strategic Career Decision Architecture</w:t>
      </w:r>
    </w:p>
    <w:p>
      <w:pPr>
        <w:spacing w:line="276" w:lineRule="auto"/>
      </w:pPr>
      <w:r>
        <w:rPr>
          <w:rFonts w:ascii="Calibri" w:hAnsi="Calibri"/>
          <w:sz w:val="22"/>
        </w:rPr>
        <w:t>Confidential Career Decision Report</w:t>
      </w:r>
    </w:p>
    <w:p>
      <w:r>
        <w:br w:type="page"/>
      </w:r>
    </w:p>
    <w:p>
      <w:r>
        <w:rPr>
          <w:rFonts w:ascii="Garamond" w:hAnsi="Garamond"/>
          <w:b/>
          <w:sz w:val="36"/>
        </w:rPr>
        <w:t>Executive Overview</w:t>
      </w:r>
    </w:p>
    <w:p>
      <w:pPr>
        <w:spacing w:line="276" w:lineRule="auto"/>
      </w:pPr>
      <w:r>
        <w:rPr>
          <w:rFonts w:ascii="Calibri" w:hAnsi="Calibri"/>
          <w:sz w:val="22"/>
        </w:rPr>
        <w:t>Pivot – Hold</w:t>
      </w:r>
    </w:p>
    <w:p/>
    <w:p>
      <w:r>
        <w:rPr>
          <w:rFonts w:ascii="Garamond" w:hAnsi="Garamond"/>
          <w:b/>
          <w:sz w:val="28"/>
        </w:rPr>
        <w:t>Executive Summary</w:t>
      </w:r>
    </w:p>
    <w:p>
      <w:pPr>
        <w:spacing w:before="40" w:after="40"/>
        <w:jc w:val="left"/>
      </w:pPr>
      <w:r>
        <w:rPr>
          <w:rFonts w:ascii="Calibri Light" w:hAnsi="Calibri Light" w:eastAsia="Calibri Light"/>
          <w:color w:val="7F7F7F"/>
          <w:sz w:val="18"/>
        </w:rPr>
        <w:t>Data completeness: High (qualitative signals available).</w:t>
      </w:r>
    </w:p>
    <w:p>
      <w:pPr>
        <w:spacing w:line="276" w:lineRule="auto"/>
      </w:pPr>
      <w:r>
        <w:rPr>
          <w:rFonts w:ascii="Calibri" w:hAnsi="Calibri"/>
          <w:sz w:val="22"/>
        </w:rPr>
        <w:t>Verdict — One-line structural summary.</w:t>
      </w:r>
    </w:p>
    <w:p>
      <w:pPr>
        <w:spacing w:line="276" w:lineRule="auto"/>
      </w:pPr>
      <w:r>
        <w:rPr>
          <w:rFonts w:ascii="Calibri" w:hAnsi="Calibri"/>
          <w:sz w:val="22"/>
        </w:rPr>
        <w:t>Structural Outlook — One-line structural summary.</w:t>
      </w:r>
    </w:p>
    <w:p>
      <w:pPr>
        <w:spacing w:line="276" w:lineRule="auto"/>
      </w:pPr>
      <w:r>
        <w:rPr>
          <w:rFonts w:ascii="Calibri" w:hAnsi="Calibri"/>
          <w:sz w:val="22"/>
        </w:rPr>
        <w:t>Structural Risk — One-line structural summary.</w:t>
      </w:r>
    </w:p>
    <w:p>
      <w:pPr>
        <w:spacing w:line="276" w:lineRule="auto"/>
      </w:pPr>
      <w:r>
        <w:rPr>
          <w:rFonts w:ascii="Calibri" w:hAnsi="Calibri"/>
          <w:sz w:val="22"/>
        </w:rPr>
        <w:t>Personal &amp; Exposure — One-line structural summary.</w:t>
      </w:r>
    </w:p>
    <w:p/>
    <w:p>
      <w:r>
        <w:rPr>
          <w:b/>
        </w:rPr>
        <w:t>External Snapshot</w:t>
      </w:r>
    </w:p>
    <w:p>
      <w:r>
        <w:rPr>
          <w:b w:val="0"/>
        </w:rPr>
        <w:t>External Snapshot — Industry Transition</w:t>
      </w:r>
    </w:p>
    <w:p>
      <w:r>
        <w:rPr>
          <w:b w:val="0"/>
        </w:rPr>
        <w:t>Market direction appears mixed, with directional visibility present but still moderated by external policy and cycle uncertainty.</w:t>
      </w:r>
    </w:p>
    <w:p>
      <w:r>
        <w:rPr>
          <w:b w:val="0"/>
        </w:rPr>
        <w:t>Competition Pressure</w:t>
      </w:r>
    </w:p>
    <w:p>
      <w:r>
        <w:rPr>
          <w:b w:val="0"/>
        </w:rPr>
        <w:t>Competition pressure appears high, with screening intensity concentrated in credential gates and differentiated positioning requirements.</w:t>
      </w:r>
    </w:p>
    <w:p>
      <w:r>
        <w:rPr>
          <w:b w:val="0"/>
        </w:rPr>
        <w:t>Economic Pressure</w:t>
      </w:r>
    </w:p>
    <w:p>
      <w:r>
        <w:rPr>
          <w:b w:val="0"/>
        </w:rPr>
        <w:t>Economic pressure appears elevated, as near-term income continuity and downside buffer resilience remain structurally constrained.</w:t>
      </w:r>
    </w:p>
    <w:p>
      <w:r>
        <w:rPr>
          <w:b w:val="0"/>
        </w:rPr>
        <w:t>Transition Friction</w:t>
      </w:r>
    </w:p>
    <w:p>
      <w:r>
        <w:rPr>
          <w:b w:val="0"/>
        </w:rPr>
        <w:t>Transition friction appears high, with path irreversibility and mobility constraints increasing execution drag across commitment stages.</w:t>
      </w:r>
    </w:p>
    <w:p>
      <w:r>
        <w:rPr>
          <w:b/>
        </w:rPr>
        <w:t>External Comparative Snapshot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321"/>
        <w:gridCol w:w="3321"/>
        <w:gridCol w:w="3321"/>
      </w:tblGrid>
      <w:tr>
        <w:tc>
          <w:tcPr>
            <w:tcW w:type="dxa" w:w="3321"/>
          </w:tcPr>
          <w:p>
            <w:r>
              <w:t>Dimension</w:t>
            </w:r>
          </w:p>
        </w:tc>
        <w:tc>
          <w:tcPr>
            <w:tcW w:type="dxa" w:w="3321"/>
          </w:tcPr>
          <w:p>
            <w:r>
              <w:t>Option A</w:t>
            </w:r>
          </w:p>
        </w:tc>
        <w:tc>
          <w:tcPr>
            <w:tcW w:type="dxa" w:w="3321"/>
          </w:tcPr>
          <w:p>
            <w:r>
              <w:t>Option B</w:t>
            </w:r>
          </w:p>
        </w:tc>
      </w:tr>
      <w:tr>
        <w:tc>
          <w:tcPr>
            <w:tcW w:type="dxa" w:w="3321"/>
          </w:tcPr>
          <w:p>
            <w:r>
              <w:t>Market Direction</w:t>
            </w:r>
          </w:p>
        </w:tc>
        <w:tc>
          <w:tcPr>
            <w:tcW w:type="dxa" w:w="3321"/>
          </w:tcPr>
          <w:p>
            <w:r>
              <w:t>◆ Mixed</w:t>
            </w:r>
          </w:p>
        </w:tc>
        <w:tc>
          <w:tcPr>
            <w:tcW w:type="dxa" w:w="3321"/>
          </w:tcPr>
          <w:p>
            <w:r>
              <w:t>◆ Mixed</w:t>
            </w:r>
          </w:p>
        </w:tc>
      </w:tr>
      <w:tr>
        <w:tc>
          <w:tcPr>
            <w:tcW w:type="dxa" w:w="3321"/>
          </w:tcPr>
          <w:p>
            <w:r>
              <w:t>Competition Pressure</w:t>
            </w:r>
          </w:p>
        </w:tc>
        <w:tc>
          <w:tcPr>
            <w:tcW w:type="dxa" w:w="3321"/>
          </w:tcPr>
          <w:p>
            <w:r>
              <w:t>◐ Moderate</w:t>
            </w:r>
          </w:p>
        </w:tc>
        <w:tc>
          <w:tcPr>
            <w:tcW w:type="dxa" w:w="3321"/>
          </w:tcPr>
          <w:p>
            <w:r>
              <w:t>● Elevated</w:t>
            </w:r>
          </w:p>
        </w:tc>
      </w:tr>
      <w:tr>
        <w:tc>
          <w:tcPr>
            <w:tcW w:type="dxa" w:w="3321"/>
          </w:tcPr>
          <w:p>
            <w:r>
              <w:t>Economic Pressure</w:t>
            </w:r>
          </w:p>
        </w:tc>
        <w:tc>
          <w:tcPr>
            <w:tcW w:type="dxa" w:w="3321"/>
          </w:tcPr>
          <w:p>
            <w:r>
              <w:t>○ Contained</w:t>
            </w:r>
          </w:p>
        </w:tc>
        <w:tc>
          <w:tcPr>
            <w:tcW w:type="dxa" w:w="3321"/>
          </w:tcPr>
          <w:p>
            <w:r>
              <w:t>● Elevated</w:t>
            </w:r>
          </w:p>
        </w:tc>
      </w:tr>
      <w:tr>
        <w:tc>
          <w:tcPr>
            <w:tcW w:type="dxa" w:w="3321"/>
          </w:tcPr>
          <w:p>
            <w:r>
              <w:t>Transition Friction</w:t>
            </w:r>
          </w:p>
        </w:tc>
        <w:tc>
          <w:tcPr>
            <w:tcW w:type="dxa" w:w="3321"/>
          </w:tcPr>
          <w:p>
            <w:r>
              <w:t>● Elevated</w:t>
            </w:r>
          </w:p>
        </w:tc>
        <w:tc>
          <w:tcPr>
            <w:tcW w:type="dxa" w:w="3321"/>
          </w:tcPr>
          <w:p>
            <w:r>
              <w:t>● Elevated</w:t>
            </w:r>
          </w:p>
        </w:tc>
      </w:tr>
    </w:tbl>
    <w:p>
      <w:r>
        <w:t>● Elevated = concentrated structural pressure</w:t>
      </w:r>
    </w:p>
    <w:p>
      <w:r>
        <w:t>◐ Moderate = manageable but active pressure</w:t>
      </w:r>
    </w:p>
    <w:p>
      <w:r>
        <w:t>○ Contained = lower structural pressure</w:t>
      </w:r>
    </w:p>
    <w:p>
      <w:r>
        <w:rPr>
          <w:b/>
        </w:rPr>
        <w:t>Pressure / Friction</w:t>
      </w:r>
    </w:p>
    <w:p>
      <w:pPr/>
      <w:r>
        <w:t>▼ Constrained = structurally limited direction</w:t>
      </w:r>
    </w:p>
    <w:p>
      <w:r>
        <w:t>◆ Mixed = balanced but uneven direction</w:t>
      </w:r>
    </w:p>
    <w:p>
      <w:r>
        <w:t>▲ Supportive = structurally favorable direction</w:t>
      </w:r>
    </w:p>
    <w:p>
      <w:r>
        <w:rPr>
          <w:b/>
        </w:rPr>
        <w:t>Market Direction</w:t>
      </w:r>
    </w:p>
    <w:p>
      <w:r>
        <w:t>Comparative Reading</w:t>
      </w:r>
    </w:p>
    <w:p>
      <w:r>
        <w:t>The two options differ primarily in continuity, external pressure, and transition cost.</w:t>
      </w:r>
    </w:p>
    <w:p>
      <w:r>
        <w:t>Comparative Implication</w:t>
      </w:r>
    </w:p>
    <w:p>
      <w:r>
        <w:t>The core trade-off lies between preserved continuity and greater long-horizon repositioning.</w:t>
      </w:r>
    </w:p>
    <w:p>
      <w:r>
        <w:rPr>
          <w:rFonts w:ascii="Garamond" w:hAnsi="Garamond"/>
          <w:b/>
          <w:sz w:val="28"/>
        </w:rPr>
        <w:t>Five-Factor Structural Matrix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321"/>
        <w:gridCol w:w="3321"/>
        <w:gridCol w:w="3321"/>
      </w:tblGrid>
      <w:tr>
        <w:tc>
          <w:tcPr>
            <w:tcW w:type="dxa" w:w="3321"/>
          </w:tcPr>
          <w:p>
            <w:r>
              <w:t>Dimension</w:t>
            </w:r>
          </w:p>
        </w:tc>
        <w:tc>
          <w:tcPr>
            <w:tcW w:type="dxa" w:w="3321"/>
          </w:tcPr>
          <w:p>
            <w:r>
              <w:t>Score (0–2)</w:t>
            </w:r>
          </w:p>
        </w:tc>
        <w:tc>
          <w:tcPr>
            <w:tcW w:type="dxa" w:w="3321"/>
          </w:tcPr>
          <w:p>
            <w:r>
              <w:t>Visual</w:t>
            </w:r>
          </w:p>
        </w:tc>
      </w:tr>
      <w:tr>
        <w:tc>
          <w:tcPr>
            <w:tcW w:type="dxa" w:w="3321"/>
          </w:tcPr>
          <w:p>
            <w:r>
              <w:t>Market &amp; Role Outlook</w:t>
            </w:r>
          </w:p>
        </w:tc>
        <w:tc>
          <w:tcPr>
            <w:tcW w:type="dxa" w:w="3321"/>
          </w:tcPr>
          <w:p>
            <w:r>
              <w:t>1 / 2</w:t>
            </w:r>
          </w:p>
        </w:tc>
        <w:tc>
          <w:tcPr>
            <w:tcW w:type="dxa" w:w="3321"/>
          </w:tcPr>
          <w:p>
            <w:r>
              <w:t>▮▯▯</w:t>
            </w:r>
          </w:p>
        </w:tc>
      </w:tr>
      <w:tr>
        <w:tc>
          <w:tcPr>
            <w:tcW w:type="dxa" w:w="3321"/>
          </w:tcPr>
          <w:p>
            <w:r>
              <w:t>Company Stability &amp; Governance</w:t>
            </w:r>
          </w:p>
        </w:tc>
        <w:tc>
          <w:tcPr>
            <w:tcW w:type="dxa" w:w="3321"/>
          </w:tcPr>
          <w:p>
            <w:r>
              <w:t>0 / 2</w:t>
            </w:r>
          </w:p>
        </w:tc>
        <w:tc>
          <w:tcPr>
            <w:tcW w:type="dxa" w:w="3321"/>
          </w:tcPr>
          <w:p>
            <w:r>
              <w:t>▮▯▯</w:t>
            </w:r>
          </w:p>
        </w:tc>
      </w:tr>
      <w:tr>
        <w:tc>
          <w:tcPr>
            <w:tcW w:type="dxa" w:w="3321"/>
          </w:tcPr>
          <w:p>
            <w:r>
              <w:t>FIFWM Structural Risk</w:t>
            </w:r>
          </w:p>
        </w:tc>
        <w:tc>
          <w:tcPr>
            <w:tcW w:type="dxa" w:w="3321"/>
          </w:tcPr>
          <w:p>
            <w:r>
              <w:t>1 / 2</w:t>
            </w:r>
          </w:p>
        </w:tc>
        <w:tc>
          <w:tcPr>
            <w:tcW w:type="dxa" w:w="3321"/>
          </w:tcPr>
          <w:p>
            <w:r>
              <w:t>▮▯▯</w:t>
            </w:r>
          </w:p>
        </w:tc>
      </w:tr>
      <w:tr>
        <w:tc>
          <w:tcPr>
            <w:tcW w:type="dxa" w:w="3321"/>
          </w:tcPr>
          <w:p>
            <w:r>
              <w:t>Personal Fit &amp; Temperament</w:t>
            </w:r>
          </w:p>
        </w:tc>
        <w:tc>
          <w:tcPr>
            <w:tcW w:type="dxa" w:w="3321"/>
          </w:tcPr>
          <w:p>
            <w:r>
              <w:t>0 / 2</w:t>
            </w:r>
          </w:p>
        </w:tc>
        <w:tc>
          <w:tcPr>
            <w:tcW w:type="dxa" w:w="3321"/>
          </w:tcPr>
          <w:p>
            <w:r>
              <w:t>▮▯▯</w:t>
            </w:r>
          </w:p>
        </w:tc>
      </w:tr>
      <w:tr>
        <w:tc>
          <w:tcPr>
            <w:tcW w:type="dxa" w:w="3321"/>
          </w:tcPr>
          <w:p>
            <w:r>
              <w:t>Upside vs Downside Exposure</w:t>
            </w:r>
          </w:p>
        </w:tc>
        <w:tc>
          <w:tcPr>
            <w:tcW w:type="dxa" w:w="3321"/>
          </w:tcPr>
          <w:p>
            <w:r>
              <w:t>1 / 2</w:t>
            </w:r>
          </w:p>
        </w:tc>
        <w:tc>
          <w:tcPr>
            <w:tcW w:type="dxa" w:w="3321"/>
          </w:tcPr>
          <w:p>
            <w:r>
              <w:t>▮▯▯</w:t>
            </w:r>
          </w:p>
        </w:tc>
      </w:tr>
    </w:tbl>
    <w:p>
      <w:r>
        <w:br w:type="page"/>
      </w:r>
    </w:p>
    <w:p>
      <w:r>
        <w:rPr>
          <w:rFonts w:ascii="Garamond" w:hAnsi="Garamond"/>
          <w:b/>
          <w:sz w:val="36"/>
        </w:rPr>
        <w:t>Structural Diagnosis</w:t>
      </w:r>
    </w:p>
    <w:p>
      <w:r>
        <w:rPr>
          <w:rFonts w:ascii="Garamond" w:hAnsi="Garamond"/>
          <w:b/>
          <w:sz w:val="28"/>
        </w:rPr>
        <w:t>Market &amp; Role Outlook</w:t>
      </w:r>
    </w:p>
    <w:p>
      <w:pPr>
        <w:spacing w:line="276" w:lineRule="auto"/>
      </w:pPr>
      <w:r>
        <w:rPr>
          <w:rFonts w:ascii="Calibri" w:hAnsi="Calibri"/>
          <w:sz w:val="22"/>
        </w:rPr>
        <w:t>Score — 1 / 2</w:t>
      </w:r>
    </w:p>
    <w:p>
      <w:pPr>
        <w:spacing w:line="276" w:lineRule="auto"/>
      </w:pPr>
      <w:r>
        <w:rPr>
          <w:rFonts w:ascii="Calibri" w:hAnsi="Calibri"/>
          <w:sz w:val="22"/>
        </w:rPr>
        <w:t>Core structural read (1–2 lines).</w:t>
      </w:r>
    </w:p>
    <w:p>
      <w:pPr>
        <w:spacing w:line="276" w:lineRule="auto"/>
      </w:pPr>
      <w:r>
        <w:rPr>
          <w:rFonts w:ascii="Calibri" w:hAnsi="Calibri"/>
          <w:sz w:val="22"/>
        </w:rPr>
        <w:t>Strategic Implication — One line only.</w:t>
      </w:r>
    </w:p>
    <w:p/>
    <w:p>
      <w:r>
        <w:rPr>
          <w:rFonts w:ascii="Garamond" w:hAnsi="Garamond"/>
          <w:b/>
          <w:sz w:val="28"/>
        </w:rPr>
        <w:t>Company Stability &amp; Governance</w:t>
      </w:r>
    </w:p>
    <w:p>
      <w:pPr>
        <w:spacing w:line="276" w:lineRule="auto"/>
      </w:pPr>
      <w:r>
        <w:rPr>
          <w:rFonts w:ascii="Calibri" w:hAnsi="Calibri"/>
          <w:sz w:val="22"/>
        </w:rPr>
        <w:t>Score — 0 / 2</w:t>
      </w:r>
    </w:p>
    <w:p>
      <w:pPr>
        <w:spacing w:line="276" w:lineRule="auto"/>
      </w:pPr>
      <w:r>
        <w:rPr>
          <w:rFonts w:ascii="Calibri" w:hAnsi="Calibri"/>
          <w:sz w:val="22"/>
        </w:rPr>
        <w:t>Core structural read (1–2 lines).</w:t>
      </w:r>
    </w:p>
    <w:p>
      <w:pPr>
        <w:spacing w:line="276" w:lineRule="auto"/>
      </w:pPr>
      <w:r>
        <w:rPr>
          <w:rFonts w:ascii="Calibri" w:hAnsi="Calibri"/>
          <w:sz w:val="22"/>
        </w:rPr>
        <w:t>Strategic Implication — One line only.</w:t>
      </w:r>
    </w:p>
    <w:p/>
    <w:p>
      <w:r>
        <w:rPr>
          <w:rFonts w:ascii="Garamond" w:hAnsi="Garamond"/>
          <w:b/>
          <w:sz w:val="28"/>
        </w:rPr>
        <w:t>FIFWM Structural Risk</w:t>
      </w:r>
    </w:p>
    <w:p>
      <w:pPr>
        <w:spacing w:line="276" w:lineRule="auto"/>
      </w:pPr>
      <w:r>
        <w:rPr>
          <w:rFonts w:ascii="Calibri" w:hAnsi="Calibri"/>
          <w:sz w:val="22"/>
        </w:rPr>
        <w:t>Score — 1 / 2</w:t>
      </w:r>
    </w:p>
    <w:p>
      <w:pPr>
        <w:spacing w:line="276" w:lineRule="auto"/>
      </w:pPr>
      <w:r>
        <w:rPr>
          <w:rFonts w:ascii="Calibri" w:hAnsi="Calibri"/>
          <w:sz w:val="22"/>
        </w:rPr>
        <w:t>Core structural read (1–2 lines).</w:t>
      </w:r>
    </w:p>
    <w:p>
      <w:pPr>
        <w:spacing w:line="276" w:lineRule="auto"/>
      </w:pPr>
      <w:r>
        <w:rPr>
          <w:rFonts w:ascii="Calibri" w:hAnsi="Calibri"/>
          <w:sz w:val="22"/>
        </w:rPr>
        <w:t>Strategic Implication — One line only.</w:t>
      </w:r>
    </w:p>
    <w:p/>
    <w:p>
      <w:r>
        <w:rPr>
          <w:rFonts w:ascii="Garamond" w:hAnsi="Garamond"/>
          <w:b/>
          <w:sz w:val="28"/>
        </w:rPr>
        <w:t>Personal Fit &amp; Temperament</w:t>
      </w:r>
    </w:p>
    <w:p>
      <w:pPr>
        <w:spacing w:line="276" w:lineRule="auto"/>
      </w:pPr>
      <w:r>
        <w:rPr>
          <w:rFonts w:ascii="Calibri" w:hAnsi="Calibri"/>
          <w:sz w:val="22"/>
        </w:rPr>
        <w:t>Score — 0 / 2</w:t>
      </w:r>
    </w:p>
    <w:p>
      <w:pPr>
        <w:spacing w:line="276" w:lineRule="auto"/>
      </w:pPr>
      <w:r>
        <w:rPr>
          <w:rFonts w:ascii="Calibri" w:hAnsi="Calibri"/>
          <w:sz w:val="22"/>
        </w:rPr>
        <w:t>Core structural read (1–2 lines).</w:t>
      </w:r>
    </w:p>
    <w:p>
      <w:pPr>
        <w:spacing w:line="276" w:lineRule="auto"/>
      </w:pPr>
      <w:r>
        <w:rPr>
          <w:rFonts w:ascii="Calibri" w:hAnsi="Calibri"/>
          <w:sz w:val="22"/>
        </w:rPr>
        <w:t>Strategic Implication — One line only.</w:t>
      </w:r>
    </w:p>
    <w:p/>
    <w:p>
      <w:r>
        <w:rPr>
          <w:rFonts w:ascii="Garamond" w:hAnsi="Garamond"/>
          <w:b/>
          <w:sz w:val="28"/>
        </w:rPr>
        <w:t>Upside vs Downside Exposure</w:t>
      </w:r>
    </w:p>
    <w:p>
      <w:pPr>
        <w:spacing w:line="276" w:lineRule="auto"/>
      </w:pPr>
      <w:r>
        <w:rPr>
          <w:rFonts w:ascii="Calibri" w:hAnsi="Calibri"/>
          <w:sz w:val="22"/>
        </w:rPr>
        <w:t>Score — 1 / 2</w:t>
      </w:r>
    </w:p>
    <w:p>
      <w:pPr>
        <w:spacing w:line="276" w:lineRule="auto"/>
      </w:pPr>
      <w:r>
        <w:rPr>
          <w:rFonts w:ascii="Calibri" w:hAnsi="Calibri"/>
          <w:sz w:val="22"/>
        </w:rPr>
        <w:t>Core structural read (1–2 lines).</w:t>
      </w:r>
    </w:p>
    <w:p>
      <w:pPr>
        <w:spacing w:line="276" w:lineRule="auto"/>
      </w:pPr>
      <w:r>
        <w:rPr>
          <w:rFonts w:ascii="Calibri" w:hAnsi="Calibri"/>
          <w:sz w:val="22"/>
        </w:rPr>
        <w:t>Strategic Implication — One line only.</w:t>
      </w:r>
    </w:p>
    <w:p/>
    <w:p>
      <w:r>
        <w:br w:type="page"/>
      </w:r>
    </w:p>
    <w:p>
      <w:r>
        <w:rPr>
          <w:rFonts w:ascii="Garamond" w:hAnsi="Garamond"/>
          <w:b/>
          <w:sz w:val="36"/>
        </w:rPr>
        <w:t>Hybrid Exploration Plan (3–6 Months)</w:t>
      </w:r>
    </w:p>
    <w:p>
      <w:r>
        <w:rPr>
          <w:rFonts w:ascii="Garamond" w:hAnsi="Garamond"/>
          <w:b/>
          <w:sz w:val="28"/>
        </w:rPr>
        <w:t>Experiment 1 — Title</w:t>
      </w:r>
    </w:p>
    <w:p>
      <w:pPr>
        <w:spacing w:line="276" w:lineRule="auto"/>
      </w:pPr>
      <w:r>
        <w:rPr>
          <w:rFonts w:ascii="Calibri" w:hAnsi="Calibri"/>
          <w:sz w:val="22"/>
        </w:rPr>
        <w:t>Context note (1 line).</w:t>
      </w:r>
    </w:p>
    <w:p>
      <w:pPr>
        <w:spacing w:line="276" w:lineRule="auto"/>
      </w:pPr>
      <w:r>
        <w:rPr>
          <w:rFonts w:ascii="Calibri" w:hAnsi="Calibri"/>
          <w:sz w:val="22"/>
        </w:rPr>
        <w:t>Objective:</w:t>
      </w:r>
    </w:p>
    <w:p>
      <w:pPr>
        <w:spacing w:line="276" w:lineRule="auto"/>
      </w:pPr>
      <w:r>
        <w:rPr>
          <w:rFonts w:ascii="Calibri" w:hAnsi="Calibri"/>
          <w:sz w:val="22"/>
        </w:rPr>
        <w:t>Timeline:</w:t>
      </w:r>
    </w:p>
    <w:p>
      <w:pPr>
        <w:spacing w:line="276" w:lineRule="auto"/>
      </w:pPr>
      <w:r>
        <w:rPr>
          <w:rFonts w:ascii="Calibri" w:hAnsi="Calibri"/>
          <w:sz w:val="22"/>
        </w:rPr>
        <w:t>Success Signal:</w:t>
      </w:r>
    </w:p>
    <w:p>
      <w:pPr>
        <w:spacing w:line="276" w:lineRule="auto"/>
      </w:pPr>
      <w:r>
        <w:rPr>
          <w:rFonts w:ascii="Calibri" w:hAnsi="Calibri"/>
          <w:sz w:val="22"/>
        </w:rPr>
        <w:t>Abort Trigger:</w:t>
      </w:r>
    </w:p>
    <w:p/>
    <w:p>
      <w:r>
        <w:rPr>
          <w:rFonts w:ascii="Garamond" w:hAnsi="Garamond"/>
          <w:b/>
          <w:sz w:val="28"/>
        </w:rPr>
        <w:t>Experiment 2 — Title</w:t>
      </w:r>
    </w:p>
    <w:p>
      <w:pPr>
        <w:spacing w:line="276" w:lineRule="auto"/>
      </w:pPr>
      <w:r>
        <w:rPr>
          <w:rFonts w:ascii="Calibri" w:hAnsi="Calibri"/>
          <w:sz w:val="22"/>
        </w:rPr>
        <w:t>Context note (1 line).</w:t>
      </w:r>
    </w:p>
    <w:p>
      <w:pPr>
        <w:spacing w:line="276" w:lineRule="auto"/>
      </w:pPr>
      <w:r>
        <w:rPr>
          <w:rFonts w:ascii="Calibri" w:hAnsi="Calibri"/>
          <w:sz w:val="22"/>
        </w:rPr>
        <w:t>Objective:</w:t>
      </w:r>
    </w:p>
    <w:p>
      <w:pPr>
        <w:spacing w:line="276" w:lineRule="auto"/>
      </w:pPr>
      <w:r>
        <w:rPr>
          <w:rFonts w:ascii="Calibri" w:hAnsi="Calibri"/>
          <w:sz w:val="22"/>
        </w:rPr>
        <w:t>Timeline:</w:t>
      </w:r>
    </w:p>
    <w:p>
      <w:pPr>
        <w:spacing w:line="276" w:lineRule="auto"/>
      </w:pPr>
      <w:r>
        <w:rPr>
          <w:rFonts w:ascii="Calibri" w:hAnsi="Calibri"/>
          <w:sz w:val="22"/>
        </w:rPr>
        <w:t>Success Signal:</w:t>
      </w:r>
    </w:p>
    <w:p>
      <w:pPr>
        <w:spacing w:line="276" w:lineRule="auto"/>
      </w:pPr>
      <w:r>
        <w:rPr>
          <w:rFonts w:ascii="Calibri" w:hAnsi="Calibri"/>
          <w:sz w:val="22"/>
        </w:rPr>
        <w:t>Abort Trigger:</w:t>
      </w:r>
    </w:p>
    <w:p/>
    <w:p>
      <w:r>
        <w:rPr>
          <w:rFonts w:ascii="Garamond" w:hAnsi="Garamond"/>
          <w:b/>
          <w:sz w:val="28"/>
        </w:rPr>
        <w:t>Experiment 3 — Title</w:t>
      </w:r>
    </w:p>
    <w:p>
      <w:pPr>
        <w:spacing w:line="276" w:lineRule="auto"/>
      </w:pPr>
      <w:r>
        <w:rPr>
          <w:rFonts w:ascii="Calibri" w:hAnsi="Calibri"/>
          <w:sz w:val="22"/>
        </w:rPr>
        <w:t>Context note (1 line).</w:t>
      </w:r>
    </w:p>
    <w:p>
      <w:pPr>
        <w:spacing w:line="276" w:lineRule="auto"/>
      </w:pPr>
      <w:r>
        <w:rPr>
          <w:rFonts w:ascii="Calibri" w:hAnsi="Calibri"/>
          <w:sz w:val="22"/>
        </w:rPr>
        <w:t>Objective:</w:t>
      </w:r>
    </w:p>
    <w:p>
      <w:pPr>
        <w:spacing w:line="276" w:lineRule="auto"/>
      </w:pPr>
      <w:r>
        <w:rPr>
          <w:rFonts w:ascii="Calibri" w:hAnsi="Calibri"/>
          <w:sz w:val="22"/>
        </w:rPr>
        <w:t>Timeline:</w:t>
      </w:r>
    </w:p>
    <w:p>
      <w:pPr>
        <w:spacing w:line="276" w:lineRule="auto"/>
      </w:pPr>
      <w:r>
        <w:rPr>
          <w:rFonts w:ascii="Calibri" w:hAnsi="Calibri"/>
          <w:sz w:val="22"/>
        </w:rPr>
        <w:t>Success Signal:</w:t>
      </w:r>
    </w:p>
    <w:p>
      <w:pPr>
        <w:spacing w:line="276" w:lineRule="auto"/>
      </w:pPr>
      <w:r>
        <w:rPr>
          <w:rFonts w:ascii="Calibri" w:hAnsi="Calibri"/>
          <w:sz w:val="22"/>
        </w:rPr>
        <w:t>Abort Trigger:</w:t>
      </w:r>
    </w:p>
    <w:p/>
    <w:p>
      <w:r>
        <w:rPr>
          <w:rFonts w:ascii="Garamond" w:hAnsi="Garamond"/>
          <w:b/>
          <w:sz w:val="28"/>
        </w:rPr>
        <w:t>Commitment Condition</w:t>
      </w:r>
    </w:p>
    <w:p>
      <w:pPr>
        <w:spacing w:line="276" w:lineRule="auto"/>
      </w:pPr>
      <w:r>
        <w:rPr>
          <w:rFonts w:ascii="Calibri" w:hAnsi="Calibri"/>
          <w:sz w:val="22"/>
        </w:rPr>
        <w:t>Commitment appears structurally justified only if defined signals remain stable across review cycles.</w:t>
      </w:r>
    </w:p>
    <w:p>
      <w:r>
        <w:br w:type="page"/>
      </w:r>
    </w:p>
    <w:p>
      <w:r>
        <w:rPr>
          <w:rFonts w:ascii="Garamond" w:hAnsi="Garamond"/>
          <w:b/>
          <w:sz w:val="36"/>
        </w:rPr>
        <w:t>90-Day Execution Map</w:t>
      </w:r>
    </w:p>
    <w:p>
      <w:pPr>
        <w:spacing w:line="276" w:lineRule="auto"/>
      </w:pPr>
      <w:r>
        <w:rPr>
          <w:rFonts w:ascii="Calibri" w:hAnsi="Calibri"/>
          <w:sz w:val="22"/>
        </w:rPr>
        <w:t>Month 1 —</w:t>
      </w:r>
    </w:p>
    <w:p>
      <w:pPr>
        <w:spacing w:line="276" w:lineRule="auto"/>
      </w:pPr>
      <w:r>
        <w:rPr>
          <w:rFonts w:ascii="Calibri" w:hAnsi="Calibri"/>
          <w:sz w:val="22"/>
        </w:rPr>
        <w:t>•</w:t>
      </w:r>
    </w:p>
    <w:p>
      <w:pPr>
        <w:spacing w:line="276" w:lineRule="auto"/>
      </w:pPr>
      <w:r>
        <w:rPr>
          <w:rFonts w:ascii="Calibri" w:hAnsi="Calibri"/>
          <w:sz w:val="22"/>
        </w:rPr>
        <w:t>•</w:t>
      </w:r>
    </w:p>
    <w:p>
      <w:pPr>
        <w:spacing w:line="276" w:lineRule="auto"/>
      </w:pPr>
      <w:r>
        <w:rPr>
          <w:rFonts w:ascii="Calibri" w:hAnsi="Calibri"/>
          <w:sz w:val="22"/>
        </w:rPr>
        <w:t>•</w:t>
      </w:r>
    </w:p>
    <w:p>
      <w:pPr>
        <w:spacing w:line="276" w:lineRule="auto"/>
      </w:pPr>
      <w:r>
        <w:rPr>
          <w:rFonts w:ascii="Calibri" w:hAnsi="Calibri"/>
          <w:sz w:val="22"/>
        </w:rPr>
        <w:t>Month 2 —</w:t>
      </w:r>
    </w:p>
    <w:p>
      <w:pPr>
        <w:spacing w:line="276" w:lineRule="auto"/>
      </w:pPr>
      <w:r>
        <w:rPr>
          <w:rFonts w:ascii="Calibri" w:hAnsi="Calibri"/>
          <w:sz w:val="22"/>
        </w:rPr>
        <w:t>•</w:t>
      </w:r>
    </w:p>
    <w:p>
      <w:pPr>
        <w:spacing w:line="276" w:lineRule="auto"/>
      </w:pPr>
      <w:r>
        <w:rPr>
          <w:rFonts w:ascii="Calibri" w:hAnsi="Calibri"/>
          <w:sz w:val="22"/>
        </w:rPr>
        <w:t>•</w:t>
      </w:r>
    </w:p>
    <w:p>
      <w:pPr>
        <w:spacing w:line="276" w:lineRule="auto"/>
      </w:pPr>
      <w:r>
        <w:rPr>
          <w:rFonts w:ascii="Calibri" w:hAnsi="Calibri"/>
          <w:sz w:val="22"/>
        </w:rPr>
        <w:t>•</w:t>
      </w:r>
    </w:p>
    <w:p>
      <w:pPr>
        <w:spacing w:line="276" w:lineRule="auto"/>
      </w:pPr>
      <w:r>
        <w:rPr>
          <w:rFonts w:ascii="Calibri" w:hAnsi="Calibri"/>
          <w:sz w:val="22"/>
        </w:rPr>
        <w:t>Month 3 —</w:t>
      </w:r>
    </w:p>
    <w:p>
      <w:pPr>
        <w:spacing w:line="276" w:lineRule="auto"/>
      </w:pPr>
      <w:r>
        <w:rPr>
          <w:rFonts w:ascii="Calibri" w:hAnsi="Calibri"/>
          <w:sz w:val="22"/>
        </w:rPr>
        <w:t>•</w:t>
      </w:r>
    </w:p>
    <w:p>
      <w:pPr>
        <w:spacing w:line="276" w:lineRule="auto"/>
      </w:pPr>
      <w:r>
        <w:rPr>
          <w:rFonts w:ascii="Calibri" w:hAnsi="Calibri"/>
          <w:sz w:val="22"/>
        </w:rPr>
        <w:t>•</w:t>
      </w:r>
    </w:p>
    <w:p>
      <w:pPr>
        <w:spacing w:line="276" w:lineRule="auto"/>
      </w:pPr>
      <w:r>
        <w:rPr>
          <w:rFonts w:ascii="Calibri" w:hAnsi="Calibri"/>
          <w:sz w:val="22"/>
        </w:rPr>
        <w:t>•</w:t>
      </w:r>
    </w:p>
    <w:p>
      <w:r>
        <w:br w:type="page"/>
      </w:r>
    </w:p>
    <w:p>
      <w:r>
        <w:rPr>
          <w:rFonts w:ascii="Garamond" w:hAnsi="Garamond"/>
          <w:b/>
          <w:sz w:val="36"/>
        </w:rPr>
        <w:t>Assumptions &amp; Critical Watch List</w:t>
      </w:r>
    </w:p>
    <w:p>
      <w:r>
        <w:rPr>
          <w:rFonts w:ascii="Garamond" w:hAnsi="Garamond"/>
          <w:b/>
          <w:sz w:val="28"/>
        </w:rPr>
        <w:t>Key Assumptions</w:t>
      </w:r>
    </w:p>
    <w:p>
      <w:pPr>
        <w:spacing w:line="276" w:lineRule="auto"/>
      </w:pPr>
      <w:r>
        <w:rPr>
          <w:rFonts w:ascii="Calibri" w:hAnsi="Calibri"/>
          <w:sz w:val="22"/>
        </w:rPr>
        <w:t>•</w:t>
      </w:r>
    </w:p>
    <w:p>
      <w:pPr>
        <w:spacing w:line="276" w:lineRule="auto"/>
      </w:pPr>
      <w:r>
        <w:rPr>
          <w:rFonts w:ascii="Calibri" w:hAnsi="Calibri"/>
          <w:sz w:val="22"/>
        </w:rPr>
        <w:t>•</w:t>
      </w:r>
    </w:p>
    <w:p>
      <w:pPr>
        <w:spacing w:line="276" w:lineRule="auto"/>
      </w:pPr>
      <w:r>
        <w:rPr>
          <w:rFonts w:ascii="Calibri" w:hAnsi="Calibri"/>
          <w:sz w:val="22"/>
        </w:rPr>
        <w:t>•</w:t>
      </w:r>
    </w:p>
    <w:p>
      <w:r>
        <w:rPr>
          <w:rFonts w:ascii="Garamond" w:hAnsi="Garamond"/>
          <w:b/>
          <w:sz w:val="28"/>
        </w:rPr>
        <w:t>Critical Watch List</w:t>
      </w:r>
    </w:p>
    <w:p>
      <w:pPr>
        <w:spacing w:line="276" w:lineRule="auto"/>
      </w:pPr>
      <w:r>
        <w:rPr>
          <w:rFonts w:ascii="Calibri" w:hAnsi="Calibri"/>
          <w:sz w:val="22"/>
        </w:rPr>
        <w:t>•</w:t>
      </w:r>
    </w:p>
    <w:p>
      <w:pPr>
        <w:spacing w:line="276" w:lineRule="auto"/>
      </w:pPr>
      <w:r>
        <w:rPr>
          <w:rFonts w:ascii="Calibri" w:hAnsi="Calibri"/>
          <w:sz w:val="22"/>
        </w:rPr>
        <w:t>•</w:t>
      </w:r>
    </w:p>
    <w:p>
      <w:pPr>
        <w:spacing w:line="276" w:lineRule="auto"/>
      </w:pPr>
      <w:r>
        <w:rPr>
          <w:rFonts w:ascii="Calibri" w:hAnsi="Calibri"/>
          <w:sz w:val="22"/>
        </w:rPr>
        <w:t>•</w:t>
      </w:r>
    </w:p>
    <w:p>
      <w:r>
        <w:br w:type="page"/>
      </w:r>
    </w:p>
    <w:p>
      <w:r>
        <w:rPr>
          <w:rFonts w:ascii="Garamond" w:hAnsi="Garamond"/>
          <w:b/>
          <w:sz w:val="28"/>
        </w:rPr>
        <w:t>AMC Framework Note</w:t>
      </w:r>
    </w:p>
    <w:p>
      <w:pPr>
        <w:spacing w:line="276" w:lineRule="auto"/>
      </w:pPr>
      <w:r>
        <w:rPr>
          <w:rFonts w:ascii="Calibri" w:hAnsi="Calibri"/>
          <w:sz w:val="22"/>
        </w:rPr>
        <w:t>This report applies the AMC Strategic Career Decision Architecture to map structural risk and decision exposure.</w:t>
      </w:r>
    </w:p>
    <w:p>
      <w:r>
        <w:rPr>
          <w:b/>
        </w:rPr>
        <w:t>Career Mobility Structure</w:t>
      </w:r>
    </w:p>
    <w:p>
      <w:r>
        <w:rPr>
          <w:b/>
        </w:rPr>
        <w:t>Strategic Temperament</w:t>
      </w:r>
    </w:p>
    <w:p>
      <w:r>
        <w:t>Temperament Profile</w:t>
      </w:r>
    </w:p>
    <w:p>
      <w:r>
        <w:t>Enterprising leaning</w:t>
      </w:r>
    </w:p>
    <w:p>
      <w:r>
        <w:t>Temperament Reading</w:t>
      </w:r>
    </w:p>
    <w:p>
      <w:r>
        <w:t>Behavioral profile suggests strong commitment once direction is chosen.</w:t>
      </w:r>
    </w:p>
    <w:p>
      <w:r>
        <w:t>Temperament Implication</w:t>
      </w:r>
    </w:p>
    <w:p>
      <w:r>
        <w:t>This increases tolerance for high-friction moves if structural upside remains credible.</w:t>
      </w:r>
    </w:p>
    <w:p>
      <w:r>
        <w:t>Mobility Type</w:t>
      </w:r>
    </w:p>
    <w:p>
      <w:r>
        <w:t>Category Expansion</w:t>
      </w:r>
    </w:p>
    <w:p>
      <w:r>
        <w:t>Mobility Reading</w:t>
      </w:r>
    </w:p>
    <w:p>
      <w:r>
        <w:t>This decision suggests a structural expansion from the current path into an adjacent domain.</w:t>
      </w:r>
    </w:p>
    <w:p>
      <w:r>
        <w:t>Mobility Implication</w:t>
      </w:r>
    </w:p>
    <w:p>
      <w:r>
        <w:t>Skill transfer remains partially intact, though positioning must be re-established.</w:t>
      </w:r>
    </w:p>
    <w:p>
      <w:r>
        <w:rPr>
          <w:b w:val="0"/>
        </w:rPr>
        <w:t>Internal Structural Snapshot</w:t>
      </w:r>
    </w:p>
    <w:p>
      <w:r>
        <w:t>Structural risk appears concentrated in downside pressure, transition irreversibility, and gate dependency.</w:t>
      </w:r>
    </w:p>
    <w:p>
      <w:r>
        <w:rPr>
          <w:b/>
        </w:rPr>
        <w:t>Career Value Structure</w:t>
      </w:r>
    </w:p>
    <w:p>
      <w:r>
        <w:t>Current Path</w:t>
      </w:r>
    </w:p>
    <w:p>
      <w:r>
        <w:t>Established role continuity with preserved income structure.</w:t>
      </w:r>
    </w:p>
    <w:p>
      <w:r>
        <w:t>Transition Path</w:t>
      </w:r>
    </w:p>
    <w:p>
      <w:r>
        <w:t>Reduced immediate stability with greater structural re-positioning potential.</w:t>
      </w:r>
    </w:p>
    <w:p>
      <w:r>
        <w:t>Value Reading</w:t>
      </w:r>
    </w:p>
    <w:p>
      <w:r>
        <w:t>Current path protects near-term stability, while transition value remains conditional under tighter safety margins.</w:t>
      </w:r>
    </w:p>
    <w:p>
      <w:r>
        <w:t>Value Implication</w:t>
      </w:r>
    </w:p>
    <w:p>
      <w:r>
        <w:t>Primary tension is the balance between downside compression and future positioning optionality.</w:t>
      </w:r>
    </w:p>
    <w:sectPr w:rsidR="00FC693F" w:rsidRPr="0006063C" w:rsidSect="00034616">
      <w:pgSz w:w="12240" w:h="15840"/>
      <w:pgMar w:top="1440" w:right="1138" w:bottom="1440" w:left="113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