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160"/>
      </w:pPr>
      <w:r>
        <w:rPr>
          <w:b w:val="0"/>
        </w:rPr>
        <w:t>{{Dashboard_Temperament_Summary}}</w:t>
      </w:r>
    </w:p>
    <w:p>
      <w:pPr>
        <w:spacing w:after="0"/>
      </w:pPr>
      <w:r>
        <w:rPr>
          <w:b w:val="0"/>
        </w:rPr>
        <w:t>Temperament Summary</w:t>
      </w:r>
    </w:p>
    <w:p>
      <w:pPr>
        <w:spacing w:after="160"/>
      </w:pPr>
      <w:r>
        <w:rPr>
          <w:b w:val="0"/>
        </w:rPr>
        <w:t>{{Dashboard_Mobility_Summary}}</w:t>
      </w:r>
    </w:p>
    <w:p>
      <w:pPr>
        <w:spacing w:after="0"/>
      </w:pPr>
      <w:r>
        <w:rPr>
          <w:b w:val="0"/>
        </w:rPr>
        <w:t>Mobility Summary</w:t>
      </w:r>
    </w:p>
    <w:p>
      <w:pPr>
        <w:spacing w:after="160"/>
      </w:pPr>
      <w:r>
        <w:rPr>
          <w:b w:val="0"/>
        </w:rPr>
        <w:t>{{Dashboard_Value_Summary}}</w:t>
      </w:r>
    </w:p>
    <w:p>
      <w:pPr>
        <w:spacing w:after="0"/>
      </w:pPr>
      <w:r>
        <w:rPr>
          <w:b w:val="0"/>
        </w:rPr>
        <w:t>Value Summary</w:t>
      </w:r>
    </w:p>
    <w:p>
      <w:pPr>
        <w:spacing w:after="160"/>
      </w:pPr>
      <w:r>
        <w:rPr>
          <w:b w:val="0"/>
        </w:rPr>
        <w:t>{{Dashboard_Risk_Summary}}</w:t>
      </w:r>
    </w:p>
    <w:p>
      <w:pPr>
        <w:spacing w:after="0"/>
      </w:pPr>
      <w:r>
        <w:rPr>
          <w:b w:val="0"/>
        </w:rPr>
        <w:t>Risk Summary</w:t>
      </w:r>
    </w:p>
    <w:p>
      <w:pPr>
        <w:spacing w:after="160"/>
      </w:pPr>
      <w:r>
        <w:rPr>
          <w:b w:val="0"/>
        </w:rPr>
        <w:t>{{Dashboard_Core_Insight}}</w:t>
      </w:r>
    </w:p>
    <w:p>
      <w:pPr>
        <w:spacing w:after="0"/>
      </w:pPr>
      <w:r>
        <w:rPr>
          <w:b w:val="0"/>
        </w:rPr>
        <w:t>Core Structural Insight</w:t>
      </w:r>
    </w:p>
    <w:p>
      <w:pPr>
        <w:spacing w:after="160"/>
      </w:pPr>
      <w:r>
        <w:rPr>
          <w:b w:val="0"/>
        </w:rPr>
        <w:t>{{Dashboard_Verdict}}</w:t>
      </w:r>
    </w:p>
    <w:p>
      <w:pPr>
        <w:spacing w:after="0"/>
      </w:pPr>
      <w:r>
        <w:rPr>
          <w:b w:val="0"/>
        </w:rPr>
        <w:t>Structural Reading</w:t>
      </w:r>
    </w:p>
    <w:p>
      <w:pPr>
        <w:spacing w:after="200"/>
      </w:pPr>
      <w:r>
        <w:rPr>
          <w:b/>
        </w:rPr>
        <w:t>Executive Dashboard</w:t>
      </w:r>
    </w:p>
    <w:p>
      <w:r>
        <w:rPr>
          <w:rFonts w:ascii="Garamond" w:hAnsi="Garamond"/>
          <w:b/>
          <w:sz w:val="40"/>
        </w:rPr>
        <w:t>AMC Strategic Career Decision Architecture</w:t>
      </w:r>
    </w:p>
    <w:p>
      <w:pPr>
        <w:spacing w:line="276" w:lineRule="auto"/>
      </w:pPr>
      <w:r>
        <w:rPr>
          <w:rFonts w:ascii="Calibri" w:hAnsi="Calibri"/>
          <w:sz w:val="22"/>
        </w:rPr>
        <w:t>Confidential Career Decision Report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Executive Overview</w:t>
      </w:r>
    </w:p>
    <w:p>
      <w:pPr>
        <w:spacing w:line="276" w:lineRule="auto"/>
      </w:pPr>
      <w:r>
        <w:rPr>
          <w:rFonts w:ascii="Calibri" w:hAnsi="Calibri"/>
          <w:sz w:val="22"/>
        </w:rPr>
        <w:t>{{Verdict_Label}}</w:t>
      </w:r>
    </w:p>
    <w:p/>
    <w:p>
      <w:r>
        <w:rPr>
          <w:rFonts w:ascii="Garamond" w:hAnsi="Garamond"/>
          <w:b/>
          <w:sz w:val="28"/>
        </w:rPr>
        <w:t>Executive Summary</w:t>
      </w:r>
    </w:p>
    <w:p>
      <w:pPr>
        <w:spacing w:before="40" w:after="40"/>
        <w:jc w:val="left"/>
      </w:pPr>
      <w:r>
        <w:rPr>
          <w:rFonts w:ascii="Calibri Light" w:hAnsi="Calibri Light" w:eastAsia="Calibri Light"/>
          <w:color w:val="7F7F7F"/>
          <w:sz w:val="18"/>
        </w:rPr>
        <w:t>Data completeness: {{Data_Completeness_Note}}</w:t>
      </w:r>
    </w:p>
    <w:p>
      <w:pPr>
        <w:spacing w:line="276" w:lineRule="auto"/>
      </w:pPr>
      <w:r>
        <w:rPr>
          <w:rFonts w:ascii="Calibri" w:hAnsi="Calibri"/>
          <w:sz w:val="22"/>
        </w:rPr>
        <w:t>Verdict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Structural Outlook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Structural Risk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Personal &amp; Exposure — One-line structural summary.</w:t>
      </w:r>
    </w:p>
    <w:p/>
    <w:p>
      <w:r>
        <w:rPr>
          <w:b/>
        </w:rPr>
        <w:t>External Snapshot</w:t>
      </w:r>
    </w:p>
    <w:p>
      <w:r>
        <w:rPr>
          <w:b w:val="0"/>
        </w:rPr>
        <w:t>{{External_Snapshot_Title}}</w:t>
      </w:r>
    </w:p>
    <w:p>
      <w:r>
        <w:rPr>
          <w:b w:val="0"/>
        </w:rPr>
        <w:t>{{External_Market_Direction}}</w:t>
      </w:r>
    </w:p>
    <w:p>
      <w:r>
        <w:rPr>
          <w:b w:val="0"/>
        </w:rPr>
        <w:t>Competition Pressure</w:t>
      </w:r>
    </w:p>
    <w:p>
      <w:r>
        <w:rPr>
          <w:b w:val="0"/>
        </w:rPr>
        <w:t>{{External_Competition_Pressure}}</w:t>
      </w:r>
    </w:p>
    <w:p>
      <w:r>
        <w:rPr>
          <w:b w:val="0"/>
        </w:rPr>
        <w:t>Economic Pressure</w:t>
      </w:r>
    </w:p>
    <w:p>
      <w:r>
        <w:rPr>
          <w:b w:val="0"/>
        </w:rPr>
        <w:t>{{External_Economic_Pressure}}</w:t>
      </w:r>
    </w:p>
    <w:p>
      <w:r>
        <w:rPr>
          <w:b w:val="0"/>
        </w:rPr>
        <w:t>Transition Friction</w:t>
      </w:r>
    </w:p>
    <w:p>
      <w:r>
        <w:rPr>
          <w:b w:val="0"/>
        </w:rPr>
        <w:t>{{External_Transition_Friction}}</w:t>
      </w:r>
    </w:p>
    <w:p>
      <w:r>
        <w:rPr>
          <w:b/>
        </w:rPr>
        <w:t>External Comparative Snapshot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>
              <w:t>{{External_OptionA_Label}}</w:t>
            </w:r>
          </w:p>
        </w:tc>
        <w:tc>
          <w:tcPr>
            <w:tcW w:type="dxa" w:w="3321"/>
          </w:tcPr>
          <w:p>
            <w:r>
              <w:t>{{External_OptionB_Label}}</w:t>
            </w:r>
          </w:p>
        </w:tc>
      </w:tr>
      <w:tr>
        <w:tc>
          <w:tcPr>
            <w:tcW w:type="dxa" w:w="3321"/>
          </w:tcPr>
          <w:p>
            <w:r>
              <w:t>Market Direction</w:t>
            </w:r>
          </w:p>
        </w:tc>
        <w:tc>
          <w:tcPr>
            <w:tcW w:type="dxa" w:w="3321"/>
          </w:tcPr>
          <w:p>
            <w:r>
              <w:t>{{External_OptionA_Market_Status}}</w:t>
            </w:r>
          </w:p>
        </w:tc>
        <w:tc>
          <w:tcPr>
            <w:tcW w:type="dxa" w:w="3321"/>
          </w:tcPr>
          <w:p>
            <w:r>
              <w:t>{{External_OptionB_Market_Status}}</w:t>
            </w:r>
          </w:p>
        </w:tc>
      </w:tr>
      <w:tr>
        <w:tc>
          <w:tcPr>
            <w:tcW w:type="dxa" w:w="3321"/>
          </w:tcPr>
          <w:p>
            <w:r>
              <w:t>Competition Pressure</w:t>
            </w:r>
          </w:p>
        </w:tc>
        <w:tc>
          <w:tcPr>
            <w:tcW w:type="dxa" w:w="3321"/>
          </w:tcPr>
          <w:p>
            <w:r>
              <w:t>{{External_OptionA_Competition_Status}}</w:t>
            </w:r>
          </w:p>
        </w:tc>
        <w:tc>
          <w:tcPr>
            <w:tcW w:type="dxa" w:w="3321"/>
          </w:tcPr>
          <w:p>
            <w:r>
              <w:t>{{External_OptionB_Competition_Status}}</w:t>
            </w:r>
          </w:p>
        </w:tc>
      </w:tr>
      <w:tr>
        <w:tc>
          <w:tcPr>
            <w:tcW w:type="dxa" w:w="3321"/>
          </w:tcPr>
          <w:p>
            <w:r>
              <w:t>Economic Pressure</w:t>
            </w:r>
          </w:p>
        </w:tc>
        <w:tc>
          <w:tcPr>
            <w:tcW w:type="dxa" w:w="3321"/>
          </w:tcPr>
          <w:p>
            <w:r>
              <w:t>{{External_OptionA_Economic_Status}}</w:t>
            </w:r>
          </w:p>
        </w:tc>
        <w:tc>
          <w:tcPr>
            <w:tcW w:type="dxa" w:w="3321"/>
          </w:tcPr>
          <w:p>
            <w:r>
              <w:t>{{External_OptionB_Economic_Status}}</w:t>
            </w:r>
          </w:p>
        </w:tc>
      </w:tr>
      <w:tr>
        <w:tc>
          <w:tcPr>
            <w:tcW w:type="dxa" w:w="3321"/>
          </w:tcPr>
          <w:p>
            <w:r>
              <w:t>Transition Friction</w:t>
            </w:r>
          </w:p>
        </w:tc>
        <w:tc>
          <w:tcPr>
            <w:tcW w:type="dxa" w:w="3321"/>
          </w:tcPr>
          <w:p>
            <w:r>
              <w:t>{{External_OptionA_Transition_Status}}</w:t>
            </w:r>
          </w:p>
        </w:tc>
        <w:tc>
          <w:tcPr>
            <w:tcW w:type="dxa" w:w="3321"/>
          </w:tcPr>
          <w:p>
            <w:r>
              <w:t>{{External_OptionB_Transition_Status}}</w:t>
            </w:r>
          </w:p>
        </w:tc>
      </w:tr>
    </w:tbl>
    <w:p>
      <w:r>
        <w:t>● Elevated = concentrated structural pressure</w:t>
      </w:r>
    </w:p>
    <w:p>
      <w:r>
        <w:t>◐ Moderate = manageable but active pressure</w:t>
      </w:r>
    </w:p>
    <w:p>
      <w:r>
        <w:t>○ Contained = lower structural pressure</w:t>
      </w:r>
    </w:p>
    <w:p>
      <w:r>
        <w:rPr>
          <w:b/>
        </w:rPr>
        <w:t>Pressure / Friction</w:t>
      </w:r>
    </w:p>
    <w:p>
      <w:pPr/>
      <w:r>
        <w:t>▼ Constrained = structurally limited direction</w:t>
      </w:r>
    </w:p>
    <w:p>
      <w:r>
        <w:t>◆ Mixed = balanced but uneven direction</w:t>
      </w:r>
    </w:p>
    <w:p>
      <w:r>
        <w:t>▲ Supportive = structurally favorable direction</w:t>
      </w:r>
    </w:p>
    <w:p>
      <w:r>
        <w:rPr>
          <w:b/>
        </w:rPr>
        <w:t>Market Direction</w:t>
      </w:r>
    </w:p>
    <w:p>
      <w:r>
        <w:t>Comparative Reading</w:t>
      </w:r>
    </w:p>
    <w:p>
      <w:r>
        <w:t>{{External_Comparative_Reading}}</w:t>
      </w:r>
    </w:p>
    <w:p>
      <w:r>
        <w:t>Comparative Implication</w:t>
      </w:r>
    </w:p>
    <w:p>
      <w:r>
        <w:t>{{External_Comparative_Implication}}</w:t>
      </w:r>
    </w:p>
    <w:p>
      <w:r>
        <w:rPr>
          <w:rFonts w:ascii="Garamond" w:hAnsi="Garamond"/>
          <w:b/>
          <w:sz w:val="28"/>
        </w:rPr>
        <w:t>Five-Factor Structural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>
              <w:t>Score (0–2)</w:t>
            </w:r>
          </w:p>
        </w:tc>
        <w:tc>
          <w:tcPr>
            <w:tcW w:type="dxa" w:w="3321"/>
          </w:tcPr>
          <w:p>
            <w:r>
              <w:t>Visual</w:t>
            </w:r>
          </w:p>
        </w:tc>
      </w:tr>
      <w:tr>
        <w:tc>
          <w:tcPr>
            <w:tcW w:type="dxa" w:w="3321"/>
          </w:tcPr>
          <w:p>
            <w:r>
              <w:t>Market &amp; Role Outlook</w:t>
            </w:r>
          </w:p>
        </w:tc>
        <w:tc>
          <w:tcPr>
            <w:tcW w:type="dxa" w:w="3321"/>
          </w:tcPr>
          <w:p>
            <w:r>
              <w:t>{{D1}}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Company Stability &amp; Governance</w:t>
            </w:r>
          </w:p>
        </w:tc>
        <w:tc>
          <w:tcPr>
            <w:tcW w:type="dxa" w:w="3321"/>
          </w:tcPr>
          <w:p>
            <w:r>
              <w:t>{{D2}}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FIFWM Structural Risk</w:t>
            </w:r>
          </w:p>
        </w:tc>
        <w:tc>
          <w:tcPr>
            <w:tcW w:type="dxa" w:w="3321"/>
          </w:tcPr>
          <w:p>
            <w:r>
              <w:t>{{D3}}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Personal Fit &amp; Temperament</w:t>
            </w:r>
          </w:p>
        </w:tc>
        <w:tc>
          <w:tcPr>
            <w:tcW w:type="dxa" w:w="3321"/>
          </w:tcPr>
          <w:p>
            <w:r>
              <w:t>{{D4}}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Upside vs Downside Exposure</w:t>
            </w:r>
          </w:p>
        </w:tc>
        <w:tc>
          <w:tcPr>
            <w:tcW w:type="dxa" w:w="3321"/>
          </w:tcPr>
          <w:p>
            <w:r>
              <w:t>{{D5}}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</w:tbl>
    <w:p>
      <w:r>
        <w:br w:type="page"/>
      </w:r>
    </w:p>
    <w:p>
      <w:r>
        <w:rPr>
          <w:rFonts w:ascii="Garamond" w:hAnsi="Garamond"/>
          <w:b/>
          <w:sz w:val="36"/>
        </w:rPr>
        <w:t>Structural Diagnosis</w:t>
      </w:r>
    </w:p>
    <w:p>
      <w:r>
        <w:rPr>
          <w:rFonts w:ascii="Garamond" w:hAnsi="Garamond"/>
          <w:b/>
          <w:sz w:val="28"/>
        </w:rPr>
        <w:t>Market &amp; Role Outlook</w:t>
      </w:r>
    </w:p>
    <w:p>
      <w:pPr>
        <w:spacing w:line="276" w:lineRule="auto"/>
      </w:pPr>
      <w:r>
        <w:rPr>
          <w:rFonts w:ascii="Calibri" w:hAnsi="Calibri"/>
          <w:sz w:val="22"/>
        </w:rPr>
        <w:t>Score — {{D1}}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Company Stability &amp; Governance</w:t>
      </w:r>
    </w:p>
    <w:p>
      <w:pPr>
        <w:spacing w:line="276" w:lineRule="auto"/>
      </w:pPr>
      <w:r>
        <w:rPr>
          <w:rFonts w:ascii="Calibri" w:hAnsi="Calibri"/>
          <w:sz w:val="22"/>
        </w:rPr>
        <w:t>Score — {{D2}}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FIFWM Structural Risk</w:t>
      </w:r>
    </w:p>
    <w:p>
      <w:pPr>
        <w:spacing w:line="276" w:lineRule="auto"/>
      </w:pPr>
      <w:r>
        <w:rPr>
          <w:rFonts w:ascii="Calibri" w:hAnsi="Calibri"/>
          <w:sz w:val="22"/>
        </w:rPr>
        <w:t>Score — {{D3}}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Personal Fit &amp; Temperament</w:t>
      </w:r>
    </w:p>
    <w:p>
      <w:pPr>
        <w:spacing w:line="276" w:lineRule="auto"/>
      </w:pPr>
      <w:r>
        <w:rPr>
          <w:rFonts w:ascii="Calibri" w:hAnsi="Calibri"/>
          <w:sz w:val="22"/>
        </w:rPr>
        <w:t>Score — {{D4}}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Upside vs Downside Exposure</w:t>
      </w:r>
    </w:p>
    <w:p>
      <w:pPr>
        <w:spacing w:line="276" w:lineRule="auto"/>
      </w:pPr>
      <w:r>
        <w:rPr>
          <w:rFonts w:ascii="Calibri" w:hAnsi="Calibri"/>
          <w:sz w:val="22"/>
        </w:rPr>
        <w:t>Score — {{D5}}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br w:type="page"/>
      </w:r>
    </w:p>
    <w:p>
      <w:r>
        <w:rPr>
          <w:rFonts w:ascii="Garamond" w:hAnsi="Garamond"/>
          <w:b/>
          <w:sz w:val="36"/>
        </w:rPr>
        <w:t>Hybrid Exploration Plan (3–6 Months)</w:t>
      </w:r>
    </w:p>
    <w:p>
      <w:r>
        <w:rPr>
          <w:rFonts w:ascii="Garamond" w:hAnsi="Garamond"/>
          <w:b/>
          <w:sz w:val="28"/>
        </w:rPr>
        <w:t>Experiment 1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/>
    <w:p>
      <w:r>
        <w:rPr>
          <w:rFonts w:ascii="Garamond" w:hAnsi="Garamond"/>
          <w:b/>
          <w:sz w:val="28"/>
        </w:rPr>
        <w:t>Experiment 2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/>
    <w:p>
      <w:r>
        <w:rPr>
          <w:rFonts w:ascii="Garamond" w:hAnsi="Garamond"/>
          <w:b/>
          <w:sz w:val="28"/>
        </w:rPr>
        <w:t>Experiment 3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/>
    <w:p>
      <w:r>
        <w:rPr>
          <w:rFonts w:ascii="Garamond" w:hAnsi="Garamond"/>
          <w:b/>
          <w:sz w:val="28"/>
        </w:rPr>
        <w:t>Commitment Condition</w:t>
      </w:r>
    </w:p>
    <w:p>
      <w:pPr>
        <w:spacing w:line="276" w:lineRule="auto"/>
      </w:pPr>
      <w:r>
        <w:rPr>
          <w:rFonts w:ascii="Calibri" w:hAnsi="Calibri"/>
          <w:sz w:val="22"/>
        </w:rPr>
        <w:t>Commitment appears structurally justified only if defined signals remain stable across review cycles.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90-Day Execution Map</w:t>
      </w:r>
    </w:p>
    <w:p>
      <w:pPr>
        <w:spacing w:line="276" w:lineRule="auto"/>
      </w:pPr>
      <w:r>
        <w:rPr>
          <w:rFonts w:ascii="Calibri" w:hAnsi="Calibri"/>
          <w:sz w:val="22"/>
        </w:rPr>
        <w:t>Month 1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Month 2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Month 3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Assumptions &amp; Critical Watch List</w:t>
      </w:r>
    </w:p>
    <w:p>
      <w:r>
        <w:rPr>
          <w:rFonts w:ascii="Garamond" w:hAnsi="Garamond"/>
          <w:b/>
          <w:sz w:val="28"/>
        </w:rPr>
        <w:t>Key Assumptions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rPr>
          <w:rFonts w:ascii="Garamond" w:hAnsi="Garamond"/>
          <w:b/>
          <w:sz w:val="28"/>
        </w:rPr>
        <w:t>Critical Watch List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br w:type="page"/>
      </w:r>
    </w:p>
    <w:p>
      <w:r>
        <w:rPr>
          <w:rFonts w:ascii="Garamond" w:hAnsi="Garamond"/>
          <w:b/>
          <w:sz w:val="28"/>
        </w:rPr>
        <w:t>AMC Framework Note</w:t>
      </w:r>
    </w:p>
    <w:p>
      <w:pPr>
        <w:spacing w:line="276" w:lineRule="auto"/>
      </w:pPr>
      <w:r>
        <w:rPr>
          <w:rFonts w:ascii="Calibri" w:hAnsi="Calibri"/>
          <w:sz w:val="22"/>
        </w:rPr>
        <w:t>This report applies the AMC Strategic Career Decision Architecture to map structural risk and decision exposure.</w:t>
      </w:r>
    </w:p>
    <w:p>
      <w:r>
        <w:rPr>
          <w:b/>
        </w:rPr>
        <w:t>Career Mobility Structure</w:t>
      </w:r>
    </w:p>
    <w:p>
      <w:r>
        <w:rPr>
          <w:b/>
        </w:rPr>
        <w:t>Strategic Temperament</w:t>
      </w:r>
    </w:p>
    <w:p>
      <w:r>
        <w:t>Temperament Profile</w:t>
      </w:r>
    </w:p>
    <w:p>
      <w:r>
        <w:t>{{Temperament_Profile}}</w:t>
      </w:r>
    </w:p>
    <w:p>
      <w:r>
        <w:t>Temperament Reading</w:t>
      </w:r>
    </w:p>
    <w:p>
      <w:r>
        <w:t>{{Temperament_Reading}}</w:t>
      </w:r>
    </w:p>
    <w:p>
      <w:r>
        <w:t>Temperament Implication</w:t>
      </w:r>
    </w:p>
    <w:p>
      <w:r>
        <w:t>{{Temperament_Implication}}</w:t>
      </w:r>
    </w:p>
    <w:p>
      <w:r>
        <w:t>Mobility Type</w:t>
      </w:r>
    </w:p>
    <w:p>
      <w:r>
        <w:t>{{Mobility_Type}}</w:t>
      </w:r>
    </w:p>
    <w:p>
      <w:r>
        <w:t>Mobility Reading</w:t>
      </w:r>
    </w:p>
    <w:p>
      <w:r>
        <w:t>{{Mobility_Reading}}</w:t>
      </w:r>
    </w:p>
    <w:p>
      <w:r>
        <w:t>Mobility Implication</w:t>
      </w:r>
    </w:p>
    <w:p>
      <w:r>
        <w:t>{{Mobility_Implication}}</w:t>
      </w:r>
    </w:p>
    <w:p>
      <w:r>
        <w:rPr>
          <w:b w:val="0"/>
        </w:rPr>
        <w:t>Internal Structural Snapshot</w:t>
      </w:r>
    </w:p>
    <w:p>
      <w:r>
        <w:t>{{Internal_Structural_Snapshot}}</w:t>
      </w:r>
    </w:p>
    <w:p>
      <w:r>
        <w:rPr>
          <w:b/>
        </w:rPr>
        <w:t>Career Value Structure</w:t>
      </w:r>
    </w:p>
    <w:p>
      <w:r>
        <w:t>Current Path</w:t>
      </w:r>
    </w:p>
    <w:p>
      <w:r>
        <w:t>{{Value_Current_Path}}</w:t>
      </w:r>
    </w:p>
    <w:p>
      <w:r>
        <w:t>Transition Path</w:t>
      </w:r>
    </w:p>
    <w:p>
      <w:r>
        <w:t>{{Value_Transition_Path}}</w:t>
      </w:r>
    </w:p>
    <w:p>
      <w:r>
        <w:t>Value Reading</w:t>
      </w:r>
    </w:p>
    <w:p>
      <w:r>
        <w:t>{{Value_Structure_Reading}}</w:t>
      </w:r>
    </w:p>
    <w:p>
      <w:r>
        <w:t>Value Implication</w:t>
      </w:r>
    </w:p>
    <w:p>
      <w:r>
        <w:t>{{Value_Structure_Implication}}</w:t>
      </w:r>
    </w:p>
    <w:sectPr w:rsidR="00FC693F" w:rsidRPr="0006063C" w:rsidSect="00034616">
      <w:pgSz w:w="12240" w:h="15840"/>
      <w:pgMar w:top="1440" w:right="1138" w:bottom="1440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