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160"/>
      </w:pPr>
      <w:r>
        <w:t>The behavioral profile is directionally committed — once a path is selected, execution follow-through is unlikely to be the limiting factor.</w:t>
      </w:r>
    </w:p>
    <w:p>
      <w:pPr>
        <w:spacing w:after="0"/>
      </w:pPr>
      <w:r>
        <w:rPr>
          <w:b w:val="0"/>
        </w:rPr>
        <w:t>Temperament Summary</w:t>
      </w:r>
    </w:p>
    <w:p>
      <w:pPr>
        <w:spacing w:after="160"/>
      </w:pPr>
      <w:r>
        <w:t>This decision is best read as a structural expansion move, not a lateral step — the adjacent domain requires repositioning, not simple transfer.</w:t>
      </w:r>
    </w:p>
    <w:p>
      <w:pPr>
        <w:spacing w:after="0"/>
      </w:pPr>
      <w:r>
        <w:rPr>
          <w:b w:val="0"/>
        </w:rPr>
        <w:t>Mobility Summary</w:t>
      </w:r>
    </w:p>
    <w:p>
      <w:pPr>
        <w:spacing w:after="160"/>
      </w:pPr>
      <w:r>
        <w:t>The current path preserves near-term income stability; transition value accrues only if downside buffers are strengthened before commitment.</w:t>
      </w:r>
    </w:p>
    <w:p>
      <w:pPr>
        <w:spacing w:after="0"/>
      </w:pPr>
      <w:r>
        <w:rPr>
          <w:b w:val="0"/>
        </w:rPr>
        <w:t>Value Summary</w:t>
      </w:r>
    </w:p>
    <w:p>
      <w:pPr>
        <w:spacing w:after="160"/>
      </w:pPr>
      <w:r>
        <w:t>Structural risk is concentrated across three dimensions: downside income exposure, transition irreversibility, and credential gate dependency.</w:t>
      </w:r>
    </w:p>
    <w:p>
      <w:pPr>
        <w:spacing w:after="0"/>
      </w:pPr>
      <w:r>
        <w:rPr>
          <w:b w:val="0"/>
        </w:rPr>
        <w:t>Risk Summary</w:t>
      </w:r>
    </w:p>
    <w:p>
      <w:pPr>
        <w:spacing w:after="160"/>
      </w:pPr>
      <w:r>
        <w:t>Upside is structurally accessible but not yet executable — timing, positioning, and gate clearance still need to align before commitment quality is strong enough.</w:t>
      </w:r>
    </w:p>
    <w:p>
      <w:pPr>
        <w:spacing w:after="0"/>
      </w:pPr>
      <w:r>
        <w:rPr>
          <w:b w:val="0"/>
        </w:rPr>
        <w:t>Core Structural Insight</w:t>
      </w:r>
    </w:p>
    <w:p>
      <w:pPr>
        <w:spacing w:after="160"/>
      </w:pPr>
      <w:r>
        <w:rPr>
          <w:b w:val="0"/>
        </w:rPr>
        <w:t>Pivot – Hold</w:t>
      </w:r>
    </w:p>
    <w:p>
      <w:pPr>
        <w:spacing w:after="0"/>
      </w:pPr>
      <w:r>
        <w:rPr>
          <w:b w:val="0"/>
        </w:rPr>
        <w:t>Structural Reading</w:t>
      </w:r>
    </w:p>
    <w:p>
      <w:pPr>
        <w:spacing w:after="200"/>
      </w:pPr>
      <w:r>
        <w:rPr>
          <w:b/>
        </w:rPr>
        <w:t>Executive Dashboard</w:t>
      </w:r>
    </w:p>
    <w:p>
      <w:r>
        <w:rPr>
          <w:rFonts w:ascii="Garamond" w:hAnsi="Garamond"/>
          <w:b/>
          <w:sz w:val="40"/>
        </w:rPr>
        <w:t>AMC Strategic Career Decision Architecture</w:t>
      </w:r>
    </w:p>
    <w:p>
      <w:pPr>
        <w:spacing w:line="276" w:lineRule="auto"/>
      </w:pPr>
      <w:r>
        <w:rPr>
          <w:rFonts w:ascii="Calibri" w:hAnsi="Calibri"/>
          <w:sz w:val="22"/>
        </w:rPr>
        <w:t>Confidential Career Decision Report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Executive Overview</w:t>
      </w:r>
    </w:p>
    <w:p>
      <w:pPr>
        <w:spacing w:line="276" w:lineRule="auto"/>
      </w:pPr>
      <w:r>
        <w:rPr>
          <w:rFonts w:ascii="Calibri" w:hAnsi="Calibri"/>
          <w:sz w:val="22"/>
        </w:rPr>
        <w:t>Pivot – Hold</w:t>
      </w:r>
    </w:p>
    <w:p/>
    <w:p>
      <w:r>
        <w:rPr>
          <w:rFonts w:ascii="Garamond" w:hAnsi="Garamond"/>
          <w:b/>
          <w:sz w:val="28"/>
        </w:rPr>
        <w:t>Executive Summary</w:t>
      </w:r>
    </w:p>
    <w:p>
      <w:pPr>
        <w:spacing w:before="40" w:after="40"/>
        <w:jc w:val="left"/>
      </w:pPr>
      <w:r>
        <w:t>Assessment basis: Qualitative structural signals with sufficient input depth for decision framing.</w:t>
      </w:r>
    </w:p>
    <w:p>
      <w:pPr>
        <w:spacing w:line="276" w:lineRule="auto"/>
      </w:pPr>
      <w:r>
        <w:t>Verdict — The move is structurally possible, but not yet sufficiently de-risked for immediate commitment.</w:t>
      </w:r>
    </w:p>
    <w:p>
      <w:pPr>
        <w:spacing w:line="276" w:lineRule="auto"/>
      </w:pPr>
      <w:r>
        <w:t>Structural Outlook — Directional upside exists, but market translation and signal clarity remain incomplete.</w:t>
      </w:r>
    </w:p>
    <w:p>
      <w:pPr>
        <w:spacing w:line="276" w:lineRule="auto"/>
      </w:pPr>
      <w:r>
        <w:t>Structural Risk — The main exposure sits in downside pressure, transition irreversibility, and gate dependency.</w:t>
      </w:r>
    </w:p>
    <w:p>
      <w:pPr>
        <w:spacing w:line="276" w:lineRule="auto"/>
      </w:pPr>
      <w:r>
        <w:t>Personal &amp; Exposure — The case shows real intent, but execution quality still depends on three reinforcing conditions: proof quality, support structure, and timing control.</w:t>
      </w:r>
    </w:p>
    <w:p/>
    <w:p>
      <w:r>
        <w:rPr>
          <w:b/>
        </w:rPr>
        <w:t>External Snapshot</w:t>
      </w:r>
    </w:p>
    <w:p>
      <w:r>
        <w:rPr>
          <w:b w:val="0"/>
        </w:rPr>
        <w:t>External Snapshot — Industry Transition</w:t>
      </w:r>
    </w:p>
    <w:p>
      <w:r>
        <w:t>Market direction is mixed: directional signals are present but dampened by policy uncertainty and cycle timing, so visibility is partial rather than absent.</w:t>
      </w:r>
    </w:p>
    <w:p>
      <w:r>
        <w:rPr>
          <w:b w:val="0"/>
        </w:rPr>
        <w:t>Competition Pressure</w:t>
      </w:r>
    </w:p>
    <w:p>
      <w:r>
        <w:t>Competition pressure is elevated, driven by credential screening and differentiated positioning requirements that raise the execution threshold for entry.</w:t>
      </w:r>
    </w:p>
    <w:p>
      <w:r>
        <w:rPr>
          <w:b w:val="0"/>
        </w:rPr>
        <w:t>Economic Pressure</w:t>
      </w:r>
    </w:p>
    <w:p>
      <w:r>
        <w:t>Economic pressure is elevated because income continuity and downside-buffer resilience remain exposed during the transition window.</w:t>
      </w:r>
    </w:p>
    <w:p>
      <w:r>
        <w:rPr>
          <w:b w:val="0"/>
        </w:rPr>
        <w:t>Transition Friction</w:t>
      </w:r>
    </w:p>
    <w:p>
      <w:r>
        <w:t>Transition friction is high, as reversibility is limited and mobility constraints increase execution drag across each stage of commitment.</w:t>
      </w:r>
    </w:p>
    <w:p>
      <w:r>
        <w:rPr>
          <w:b/>
        </w:rPr>
        <w:t>External Comparative Snapshot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>
              <w:t>Option A</w:t>
            </w:r>
          </w:p>
        </w:tc>
        <w:tc>
          <w:tcPr>
            <w:tcW w:type="dxa" w:w="3321"/>
          </w:tcPr>
          <w:p>
            <w:r>
              <w:t>Option B</w:t>
            </w:r>
          </w:p>
        </w:tc>
      </w:tr>
      <w:tr>
        <w:tc>
          <w:tcPr>
            <w:tcW w:type="dxa" w:w="3321"/>
          </w:tcPr>
          <w:p>
            <w:r>
              <w:t>Market Direction</w:t>
            </w:r>
          </w:p>
        </w:tc>
        <w:tc>
          <w:tcPr>
            <w:tcW w:type="dxa" w:w="3321"/>
          </w:tcPr>
          <w:p>
            <w:r>
              <w:t>◆ Mixed</w:t>
            </w:r>
          </w:p>
        </w:tc>
        <w:tc>
          <w:tcPr>
            <w:tcW w:type="dxa" w:w="3321"/>
          </w:tcPr>
          <w:p>
            <w:r>
              <w:t>◆ Mixed</w:t>
            </w:r>
          </w:p>
        </w:tc>
      </w:tr>
      <w:tr>
        <w:tc>
          <w:tcPr>
            <w:tcW w:type="dxa" w:w="3321"/>
          </w:tcPr>
          <w:p>
            <w:r>
              <w:t>Competition Pressure</w:t>
            </w:r>
          </w:p>
        </w:tc>
        <w:tc>
          <w:tcPr>
            <w:tcW w:type="dxa" w:w="3321"/>
          </w:tcPr>
          <w:p>
            <w:r>
              <w:t>◐ Moderate</w:t>
            </w:r>
          </w:p>
        </w:tc>
        <w:tc>
          <w:tcPr>
            <w:tcW w:type="dxa" w:w="3321"/>
          </w:tcPr>
          <w:p>
            <w:r>
              <w:t>● Elevated</w:t>
            </w:r>
          </w:p>
        </w:tc>
      </w:tr>
      <w:tr>
        <w:tc>
          <w:tcPr>
            <w:tcW w:type="dxa" w:w="3321"/>
          </w:tcPr>
          <w:p>
            <w:r>
              <w:t>Economic Pressure</w:t>
            </w:r>
          </w:p>
        </w:tc>
        <w:tc>
          <w:tcPr>
            <w:tcW w:type="dxa" w:w="3321"/>
          </w:tcPr>
          <w:p>
            <w:r>
              <w:t>○ Contained</w:t>
            </w:r>
          </w:p>
        </w:tc>
        <w:tc>
          <w:tcPr>
            <w:tcW w:type="dxa" w:w="3321"/>
          </w:tcPr>
          <w:p>
            <w:r>
              <w:t>● Elevated</w:t>
            </w:r>
          </w:p>
        </w:tc>
      </w:tr>
      <w:tr>
        <w:tc>
          <w:tcPr>
            <w:tcW w:type="dxa" w:w="3321"/>
          </w:tcPr>
          <w:p>
            <w:r>
              <w:t>Transition Friction</w:t>
            </w:r>
          </w:p>
        </w:tc>
        <w:tc>
          <w:tcPr>
            <w:tcW w:type="dxa" w:w="3321"/>
          </w:tcPr>
          <w:p>
            <w:r>
              <w:t>● Elevated</w:t>
            </w:r>
          </w:p>
        </w:tc>
        <w:tc>
          <w:tcPr>
            <w:tcW w:type="dxa" w:w="3321"/>
          </w:tcPr>
          <w:p>
            <w:r>
              <w:t>● Elevated</w:t>
            </w:r>
          </w:p>
        </w:tc>
      </w:tr>
    </w:tbl>
    <w:p>
      <w:r>
        <w:t>● Elevated = concentrated structural pressure</w:t>
      </w:r>
    </w:p>
    <w:p>
      <w:r>
        <w:t>◐ Moderate = manageable but active pressure</w:t>
      </w:r>
    </w:p>
    <w:p>
      <w:r>
        <w:t>○ Contained = lower structural pressure</w:t>
      </w:r>
    </w:p>
    <w:p>
      <w:r>
        <w:rPr>
          <w:b/>
        </w:rPr>
        <w:t>Pressure / Friction</w:t>
      </w:r>
    </w:p>
    <w:p>
      <w:pPr/>
      <w:r>
        <w:t>▼ Constrained = structurally limited direction</w:t>
      </w:r>
    </w:p>
    <w:p>
      <w:r>
        <w:t>◆ Mixed = balanced but uneven direction</w:t>
      </w:r>
    </w:p>
    <w:p>
      <w:r>
        <w:t>▲ Supportive = structurally favorable direction</w:t>
      </w:r>
    </w:p>
    <w:p>
      <w:r>
        <w:rPr>
          <w:b/>
        </w:rPr>
        <w:t>Market Direction</w:t>
      </w:r>
    </w:p>
    <w:p>
      <w:r>
        <w:t>Comparative Reading</w:t>
      </w:r>
    </w:p>
    <w:p>
      <w:r>
        <w:t>Option A retains structural continuity at the cost of repositioning potential; Option B trades near-term stability for a less reversible but structurally higher-upside path.</w:t>
      </w:r>
    </w:p>
    <w:p>
      <w:r>
        <w:t>Comparative Implication</w:t>
      </w:r>
    </w:p>
    <w:p>
      <w:r>
        <w:t>The trade-off is not simply between safety and ambition — it is between a path that is easier to sustain and one that is harder to reverse.</w:t>
      </w:r>
    </w:p>
    <w:p>
      <w:r>
        <w:rPr>
          <w:rFonts w:ascii="Garamond" w:hAnsi="Garamond"/>
          <w:b/>
          <w:sz w:val="28"/>
        </w:rPr>
        <w:t>Five-Factor Structural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>
              <w:t>Score (0–2)</w:t>
            </w:r>
          </w:p>
        </w:tc>
        <w:tc>
          <w:tcPr>
            <w:tcW w:type="dxa" w:w="3321"/>
          </w:tcPr>
          <w:p>
            <w:r>
              <w:t>Visual</w:t>
            </w:r>
          </w:p>
        </w:tc>
      </w:tr>
      <w:tr>
        <w:tc>
          <w:tcPr>
            <w:tcW w:type="dxa" w:w="3321"/>
          </w:tcPr>
          <w:p>
            <w:r>
              <w:t>Market &amp; Role Outlook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★★☆</w:t>
            </w:r>
          </w:p>
        </w:tc>
      </w:tr>
      <w:tr>
        <w:tc>
          <w:tcPr>
            <w:tcW w:type="dxa" w:w="3321"/>
          </w:tcPr>
          <w:p>
            <w:r>
              <w:t>Company Stability &amp; Governance</w:t>
            </w:r>
          </w:p>
        </w:tc>
        <w:tc>
          <w:tcPr>
            <w:tcW w:type="dxa" w:w="3321"/>
          </w:tcPr>
          <w:p>
            <w:r>
              <w:t>0 / 2</w:t>
            </w:r>
          </w:p>
        </w:tc>
        <w:tc>
          <w:tcPr>
            <w:tcW w:type="dxa" w:w="3321"/>
          </w:tcPr>
          <w:p>
            <w:r>
              <w:t>☆☆☆</w:t>
            </w:r>
          </w:p>
        </w:tc>
      </w:tr>
      <w:tr>
        <w:tc>
          <w:tcPr>
            <w:tcW w:type="dxa" w:w="3321"/>
          </w:tcPr>
          <w:p>
            <w:r>
              <w:t>FIFWM Structural Risk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★★☆</w:t>
            </w:r>
          </w:p>
        </w:tc>
      </w:tr>
      <w:tr>
        <w:tc>
          <w:tcPr>
            <w:tcW w:type="dxa" w:w="3321"/>
          </w:tcPr>
          <w:p>
            <w:r>
              <w:t>Personal Fit &amp; Temperament</w:t>
            </w:r>
          </w:p>
        </w:tc>
        <w:tc>
          <w:tcPr>
            <w:tcW w:type="dxa" w:w="3321"/>
          </w:tcPr>
          <w:p>
            <w:r>
              <w:t>0 / 2</w:t>
            </w:r>
          </w:p>
        </w:tc>
        <w:tc>
          <w:tcPr>
            <w:tcW w:type="dxa" w:w="3321"/>
          </w:tcPr>
          <w:p>
            <w:r>
              <w:t>☆☆☆</w:t>
            </w:r>
          </w:p>
        </w:tc>
      </w:tr>
      <w:tr>
        <w:tc>
          <w:tcPr>
            <w:tcW w:type="dxa" w:w="3321"/>
          </w:tcPr>
          <w:p>
            <w:r>
              <w:t>Upside vs Downside Exposure</w:t>
            </w:r>
          </w:p>
        </w:tc>
        <w:tc>
          <w:tcPr>
            <w:tcW w:type="dxa" w:w="3321"/>
          </w:tcPr>
          <w:p>
            <w:r>
              <w:t>1 / 2</w:t>
            </w:r>
          </w:p>
        </w:tc>
        <w:tc>
          <w:tcPr>
            <w:tcW w:type="dxa" w:w="3321"/>
          </w:tcPr>
          <w:p>
            <w:r>
              <w:t>★★☆</w:t>
            </w:r>
          </w:p>
        </w:tc>
      </w:tr>
    </w:tbl>
    <w:p>
      <w:r>
        <w:br w:type="page"/>
      </w:r>
    </w:p>
    <w:p>
      <w:r>
        <w:rPr>
          <w:rFonts w:ascii="Garamond" w:hAnsi="Garamond"/>
          <w:b/>
          <w:sz w:val="36"/>
        </w:rPr>
        <w:t>Structural Diagnosis</w:t>
      </w:r>
    </w:p>
    <w:p>
      <w:r>
        <w:rPr>
          <w:rFonts w:ascii="Garamond" w:hAnsi="Garamond"/>
          <w:b/>
          <w:sz w:val="28"/>
        </w:rPr>
        <w:t>Market &amp; Role Outlook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t>Core structural read — Market direction is visible but uneven, which means opportunity exists without yet offering a fully reliable entry path.</w:t>
      </w:r>
    </w:p>
    <w:p>
      <w:pPr>
        <w:spacing w:line="276" w:lineRule="auto"/>
      </w:pPr>
      <w:r>
        <w:t>Strategic Implication — Validate external traction before treating directional interest as executable fit.</w:t>
      </w:r>
    </w:p>
    <w:p/>
    <w:p>
      <w:r>
        <w:rPr>
          <w:rFonts w:ascii="Garamond" w:hAnsi="Garamond"/>
          <w:b/>
          <w:sz w:val="28"/>
        </w:rPr>
        <w:t>Company Stability &amp; Governance</w:t>
      </w:r>
    </w:p>
    <w:p>
      <w:pPr>
        <w:spacing w:line="276" w:lineRule="auto"/>
      </w:pPr>
      <w:r>
        <w:rPr>
          <w:rFonts w:ascii="Calibri" w:hAnsi="Calibri"/>
          <w:sz w:val="22"/>
        </w:rPr>
        <w:t>Score — 0 / 2</w:t>
      </w:r>
    </w:p>
    <w:p>
      <w:pPr>
        <w:spacing w:line="276" w:lineRule="auto"/>
      </w:pPr>
      <w:r>
        <w:t>Core structural read — Internal continuity looks weaker than before, reducing the value of passive retention without a clear repositioning logic.</w:t>
      </w:r>
    </w:p>
    <w:p>
      <w:pPr>
        <w:spacing w:line="276" w:lineRule="auto"/>
      </w:pPr>
      <w:r>
        <w:t>Strategic Implication — Passive retention without a clear repositioning logic is not a structurally defensible position.</w:t>
      </w:r>
    </w:p>
    <w:p/>
    <w:p>
      <w:r>
        <w:rPr>
          <w:rFonts w:ascii="Garamond" w:hAnsi="Garamond"/>
          <w:b/>
          <w:sz w:val="28"/>
        </w:rPr>
        <w:t>FIFWM Structural Risk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t>Core structural read — Risk is concentrated in downside compression, limited reversibility, and dependence on a narrow set of gates.</w:t>
      </w:r>
    </w:p>
    <w:p>
      <w:pPr>
        <w:spacing w:line="276" w:lineRule="auto"/>
      </w:pPr>
      <w:r>
        <w:t>Strategic Implication — Reinforce financial and option buffers before making the move less reversible.</w:t>
      </w:r>
    </w:p>
    <w:p/>
    <w:p>
      <w:r>
        <w:rPr>
          <w:rFonts w:ascii="Garamond" w:hAnsi="Garamond"/>
          <w:b/>
          <w:sz w:val="28"/>
        </w:rPr>
        <w:t>Personal Fit &amp; Temperament</w:t>
      </w:r>
    </w:p>
    <w:p>
      <w:pPr>
        <w:spacing w:line="276" w:lineRule="auto"/>
      </w:pPr>
      <w:r>
        <w:rPr>
          <w:rFonts w:ascii="Calibri" w:hAnsi="Calibri"/>
          <w:sz w:val="22"/>
        </w:rPr>
        <w:t>Score — 0 / 2</w:t>
      </w:r>
    </w:p>
    <w:p>
      <w:pPr>
        <w:spacing w:line="276" w:lineRule="auto"/>
      </w:pPr>
      <w:r>
        <w:t>Core structural read — Commitment is not the problem; the real issue is whether the evidence base is strong enough to justify full commitment.</w:t>
      </w:r>
    </w:p>
    <w:p>
      <w:pPr>
        <w:spacing w:line="276" w:lineRule="auto"/>
      </w:pPr>
      <w:r>
        <w:t>Strategic Implication — Build proof first, then let temperament support execution rather than substitute for it.</w:t>
      </w:r>
    </w:p>
    <w:p/>
    <w:p>
      <w:r>
        <w:rPr>
          <w:rFonts w:ascii="Garamond" w:hAnsi="Garamond"/>
          <w:b/>
          <w:sz w:val="28"/>
        </w:rPr>
        <w:t>Upside vs Downside Exposure</w:t>
      </w:r>
    </w:p>
    <w:p>
      <w:pPr>
        <w:spacing w:line="276" w:lineRule="auto"/>
      </w:pPr>
      <w:r>
        <w:rPr>
          <w:rFonts w:ascii="Calibri" w:hAnsi="Calibri"/>
          <w:sz w:val="22"/>
        </w:rPr>
        <w:t>Score — 1 / 2</w:t>
      </w:r>
    </w:p>
    <w:p>
      <w:pPr>
        <w:spacing w:line="276" w:lineRule="auto"/>
      </w:pPr>
      <w:r>
        <w:t>Core structural read — Upside is real, but it remains conditional on better positioning, cleaner signals, and reduced near-term exposure.</w:t>
      </w:r>
    </w:p>
    <w:p>
      <w:pPr>
        <w:spacing w:line="276" w:lineRule="auto"/>
      </w:pPr>
      <w:r>
        <w:t>Strategic Implication — Improve downside protection before optimizing for long-horizon upside.</w:t>
      </w:r>
    </w:p>
    <w:p/>
    <w:p>
      <w:r>
        <w:br w:type="page"/>
      </w:r>
    </w:p>
    <w:p>
      <w:r>
        <w:rPr>
          <w:rFonts w:ascii="Garamond" w:hAnsi="Garamond"/>
          <w:b/>
          <w:sz w:val="36"/>
        </w:rPr>
        <w:t>Hybrid Exploration Plan (3–6 Months)</w:t>
      </w:r>
    </w:p>
    <w:p>
      <w:r>
        <w:t>Experiment 1 — External Market Validation</w:t>
      </w:r>
    </w:p>
    <w:p>
      <w:pPr>
        <w:spacing w:line="276" w:lineRule="auto"/>
      </w:pPr>
      <w:r>
        <w:t>Context note — The key question is whether directional interest converts into real market receptivity.</w:t>
      </w:r>
    </w:p>
    <w:p>
      <w:pPr>
        <w:spacing w:line="276" w:lineRule="auto"/>
      </w:pPr>
      <w:r>
        <w:t>Objective: Test whether the profile can attract credible external traction in the adjacent strategy domain.</w:t>
      </w:r>
    </w:p>
    <w:p>
      <w:pPr>
        <w:spacing w:line="276" w:lineRule="auto"/>
      </w:pPr>
      <w:r>
        <w:t>Timeline: Weeks 1–6</w:t>
      </w:r>
    </w:p>
    <w:p>
      <w:pPr>
        <w:spacing w:line="276" w:lineRule="auto"/>
      </w:pPr>
      <w:r>
        <w:t>Success Signal: Repeated positive responses from qualified external targets with consistent role-fit feedback.</w:t>
      </w:r>
    </w:p>
    <w:p>
      <w:pPr>
        <w:spacing w:line="276" w:lineRule="auto"/>
      </w:pPr>
      <w:r>
        <w:t>Abort Trigger: Interest remains generic, non-converting, or dependent on excessive profile re-explanation.</w:t>
      </w:r>
    </w:p>
    <w:p/>
    <w:p>
      <w:r>
        <w:t>Experiment 2 — Narrative and Positioning Conversion</w:t>
      </w:r>
    </w:p>
    <w:p>
      <w:pPr>
        <w:spacing w:line="276" w:lineRule="auto"/>
      </w:pPr>
      <w:r>
        <w:t>Context note — The move depends on whether credibility can be translated, not merely claimed.</w:t>
      </w:r>
    </w:p>
    <w:p>
      <w:pPr>
        <w:spacing w:line="276" w:lineRule="auto"/>
      </w:pPr>
      <w:r>
        <w:t>Objective: Reframe current experience into a sharper external positioning narrative.</w:t>
      </w:r>
    </w:p>
    <w:p>
      <w:pPr>
        <w:spacing w:line="276" w:lineRule="auto"/>
      </w:pPr>
      <w:r>
        <w:t>Timeline: Weeks 3–8</w:t>
      </w:r>
    </w:p>
    <w:p>
      <w:pPr>
        <w:spacing w:line="276" w:lineRule="auto"/>
      </w:pPr>
      <w:r>
        <w:t>Success Signal: The story becomes easier to communicate, easier to understand, and more consistently validated by third parties.</w:t>
      </w:r>
    </w:p>
    <w:p>
      <w:pPr>
        <w:spacing w:line="276" w:lineRule="auto"/>
      </w:pPr>
      <w:r>
        <w:t>Abort Trigger: Narrative clarity improves only superficially and still fails to strengthen conversion quality.</w:t>
      </w:r>
    </w:p>
    <w:p/>
    <w:p>
      <w:r>
        <w:t>Experiment 3 — Buffer and Commitment Readiness</w:t>
      </w:r>
    </w:p>
    <w:p>
      <w:pPr>
        <w:spacing w:line="276" w:lineRule="auto"/>
      </w:pPr>
      <w:r>
        <w:t>Context note — Commitment quality depends on support conditions, not momentum alone.</w:t>
      </w:r>
    </w:p>
    <w:p>
      <w:pPr>
        <w:spacing w:line="276" w:lineRule="auto"/>
      </w:pPr>
      <w:r>
        <w:t>Objective: Strengthen downside protection, timing readiness, and execution capacity before a point-of-no-return decision.</w:t>
      </w:r>
    </w:p>
    <w:p>
      <w:pPr>
        <w:spacing w:line="276" w:lineRule="auto"/>
      </w:pPr>
      <w:r>
        <w:t>Timeline: Weeks 6–12</w:t>
      </w:r>
    </w:p>
    <w:p>
      <w:pPr>
        <w:spacing w:line="276" w:lineRule="auto"/>
      </w:pPr>
      <w:r>
        <w:t>Success Signal: Financial, practical, and timing buffers reach a level that can absorb transition volatility.</w:t>
      </w:r>
    </w:p>
    <w:p>
      <w:pPr>
        <w:spacing w:line="276" w:lineRule="auto"/>
      </w:pPr>
      <w:r>
        <w:t>Abort Trigger: The move remains strategically attractive but operationally under-supported.</w:t>
      </w:r>
    </w:p>
    <w:p/>
    <w:p>
      <w:r>
        <w:rPr>
          <w:rFonts w:ascii="Garamond" w:hAnsi="Garamond"/>
          <w:b/>
          <w:sz w:val="28"/>
        </w:rPr>
        <w:t>Commitment Condition</w:t>
      </w:r>
    </w:p>
    <w:p>
      <w:pPr>
        <w:spacing w:line="276" w:lineRule="auto"/>
      </w:pPr>
      <w:r>
        <w:t>Commitment is structurally justified when — and only when — the defined signal conditions remain stable across at least two consecutive review cycles.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90-Day Execution Map</w:t>
      </w:r>
    </w:p>
    <w:p>
      <w:pPr>
        <w:spacing w:line="276" w:lineRule="auto"/>
      </w:pPr>
      <w:r>
        <w:rPr>
          <w:rFonts w:ascii="Calibri" w:hAnsi="Calibri"/>
          <w:sz w:val="22"/>
        </w:rPr>
        <w:t>Month 1 —</w:t>
      </w:r>
    </w:p>
    <w:p>
      <w:pPr>
        <w:spacing w:line="276" w:lineRule="auto"/>
      </w:pPr>
      <w:r>
        <w:t>• Clarify target roles, adjacent-domain logic, and non-negotiable fit criteria.</w:t>
      </w:r>
    </w:p>
    <w:p>
      <w:pPr>
        <w:spacing w:line="276" w:lineRule="auto"/>
      </w:pPr>
      <w:r>
        <w:t>• Run initial market conversations to test external receptivity and gate structure.</w:t>
      </w:r>
    </w:p>
    <w:p>
      <w:pPr>
        <w:spacing w:line="276" w:lineRule="auto"/>
      </w:pPr>
      <w:r>
        <w:t>• Redraft the positioning narrative around transferable value, not internal title history.</w:t>
      </w:r>
    </w:p>
    <w:p>
      <w:pPr>
        <w:spacing w:line="276" w:lineRule="auto"/>
      </w:pPr>
      <w:r>
        <w:rPr>
          <w:rFonts w:ascii="Calibri" w:hAnsi="Calibri"/>
          <w:sz w:val="22"/>
        </w:rPr>
        <w:t>Month 2 —</w:t>
      </w:r>
    </w:p>
    <w:p>
      <w:pPr>
        <w:spacing w:line="276" w:lineRule="auto"/>
      </w:pPr>
      <w:r>
        <w:t>• Compare external responses for consistency, quality, and conversion depth.</w:t>
      </w:r>
    </w:p>
    <w:p>
      <w:pPr>
        <w:spacing w:line="276" w:lineRule="auto"/>
      </w:pPr>
      <w:r>
        <w:t>• Tighten financial and timing buffers to reduce downside pressure.</w:t>
      </w:r>
    </w:p>
    <w:p>
      <w:pPr>
        <w:spacing w:line="276" w:lineRule="auto"/>
      </w:pPr>
      <w:r>
        <w:t>• Identify whether the case is improving through evidence or merely through optimism.</w:t>
      </w:r>
    </w:p>
    <w:p>
      <w:pPr>
        <w:spacing w:line="276" w:lineRule="auto"/>
      </w:pPr>
      <w:r>
        <w:rPr>
          <w:rFonts w:ascii="Calibri" w:hAnsi="Calibri"/>
          <w:sz w:val="22"/>
        </w:rPr>
        <w:t>Month 3 —</w:t>
      </w:r>
    </w:p>
    <w:p>
      <w:pPr>
        <w:spacing w:line="276" w:lineRule="auto"/>
      </w:pPr>
      <w:r>
        <w:t>• Decide whether the external path has reached executable-fit quality.</w:t>
      </w:r>
    </w:p>
    <w:p>
      <w:pPr>
        <w:spacing w:line="276" w:lineRule="auto"/>
      </w:pPr>
      <w:r>
        <w:t>• Proceed only if signals, support, and timing have strengthened together.</w:t>
      </w:r>
    </w:p>
    <w:p>
      <w:pPr>
        <w:spacing w:line="276" w:lineRule="auto"/>
      </w:pPr>
      <w:r>
        <w:t>• If signals have not converged, preserve optionality — continued structured validation is the stronger position at this stage.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Assumptions &amp; Critical Watch List</w:t>
      </w:r>
    </w:p>
    <w:p>
      <w:r>
        <w:rPr>
          <w:rFonts w:ascii="Garamond" w:hAnsi="Garamond"/>
          <w:b/>
          <w:sz w:val="28"/>
        </w:rPr>
        <w:t>Key Assumptions</w:t>
      </w:r>
    </w:p>
    <w:p>
      <w:pPr>
        <w:spacing w:line="276" w:lineRule="auto"/>
      </w:pPr>
      <w:r>
        <w:t>• External demand for the adjacent strategy path is real, not cosmetic.</w:t>
      </w:r>
    </w:p>
    <w:p>
      <w:pPr>
        <w:spacing w:line="276" w:lineRule="auto"/>
      </w:pPr>
      <w:r>
        <w:t>• Current experience can be translated into credible external value with sharper framing.</w:t>
      </w:r>
    </w:p>
    <w:p>
      <w:pPr>
        <w:spacing w:line="276" w:lineRule="auto"/>
      </w:pPr>
      <w:r>
        <w:t>• Downside exposure can be managed without destabilizing core life and income conditions.</w:t>
      </w:r>
    </w:p>
    <w:p>
      <w:r>
        <w:rPr>
          <w:rFonts w:ascii="Garamond" w:hAnsi="Garamond"/>
          <w:b/>
          <w:sz w:val="28"/>
        </w:rPr>
        <w:t>Critical Watch List</w:t>
      </w:r>
    </w:p>
    <w:p>
      <w:pPr>
        <w:spacing w:line="276" w:lineRule="auto"/>
      </w:pPr>
      <w:r>
        <w:t>• Whether positive signals are consistent or merely episodic.</w:t>
      </w:r>
    </w:p>
    <w:p>
      <w:pPr>
        <w:spacing w:line="276" w:lineRule="auto"/>
      </w:pPr>
      <w:r>
        <w:t>• Whether gate requirements are narrowing or expanding during the process.</w:t>
      </w:r>
    </w:p>
    <w:p>
      <w:pPr>
        <w:spacing w:line="276" w:lineRule="auto"/>
      </w:pPr>
      <w:r>
        <w:t>• Whether timing pressure is improving judgment or distorting it.</w:t>
      </w:r>
    </w:p>
    <w:p>
      <w:r>
        <w:br w:type="page"/>
      </w:r>
    </w:p>
    <w:p>
      <w:r>
        <w:rPr>
          <w:rFonts w:ascii="Garamond" w:hAnsi="Garamond"/>
          <w:b/>
          <w:sz w:val="28"/>
        </w:rPr>
        <w:t>AMC Framework Note</w:t>
      </w:r>
    </w:p>
    <w:p>
      <w:pPr>
        <w:spacing w:line="276" w:lineRule="auto"/>
      </w:pPr>
      <w:r>
        <w:t>This report applies the AMC Strategic Career Decision Architecture to map structural risk and decision exposure.</w:t>
      </w:r>
    </w:p>
    <w:p>
      <w:r>
        <w:rPr>
          <w:b/>
        </w:rPr>
        <w:t>Career Mobility Structure</w:t>
      </w:r>
    </w:p>
    <w:p>
      <w:r>
        <w:rPr>
          <w:b/>
        </w:rPr>
        <w:t>Strategic Temperament</w:t>
      </w:r>
    </w:p>
    <w:p>
      <w:r>
        <w:t>Temperament Profile</w:t>
      </w:r>
    </w:p>
    <w:p>
      <w:r>
        <w:t>Enterprising leaning</w:t>
      </w:r>
    </w:p>
    <w:p>
      <w:r>
        <w:t>Temperament Reading</w:t>
      </w:r>
    </w:p>
    <w:p>
      <w:r>
        <w:t>The behavioral profile is directionally committed — once a path is selected, execution follow-through is unlikely to be the limiting factor.</w:t>
      </w:r>
    </w:p>
    <w:p>
      <w:r>
        <w:t>Temperament Implication</w:t>
      </w:r>
    </w:p>
    <w:p>
      <w:r>
        <w:t>This increases tolerance for high-friction moves if structural upside remains credible.</w:t>
      </w:r>
    </w:p>
    <w:p>
      <w:r>
        <w:t>Mobility Type</w:t>
      </w:r>
    </w:p>
    <w:p>
      <w:r>
        <w:t>Category Expansion</w:t>
      </w:r>
    </w:p>
    <w:p>
      <w:r>
        <w:t>Mobility Reading</w:t>
      </w:r>
    </w:p>
    <w:p>
      <w:r>
        <w:t>This decision is best read as a structural expansion move, not a lateral step — the adjacent domain requires repositioning, not simple transfer.</w:t>
      </w:r>
    </w:p>
    <w:p>
      <w:r>
        <w:t>Mobility Implication</w:t>
      </w:r>
    </w:p>
    <w:p>
      <w:r>
        <w:t>Skill transfer remains real, but external conversion will require sharper packaging and clearer market proof.</w:t>
      </w:r>
    </w:p>
    <w:p>
      <w:r>
        <w:rPr>
          <w:b w:val="0"/>
        </w:rPr>
        <w:t>Internal Structural Snapshot</w:t>
      </w:r>
    </w:p>
    <w:p>
      <w:r>
        <w:t>Structural risk is concentrated across three dimensions: downside income exposure, transition irreversibility, and credential gate dependency.</w:t>
      </w:r>
    </w:p>
    <w:p>
      <w:r>
        <w:rPr>
          <w:b/>
        </w:rPr>
        <w:t>Career Value Structure</w:t>
      </w:r>
    </w:p>
    <w:p>
      <w:r>
        <w:t>Current Path</w:t>
      </w:r>
    </w:p>
    <w:p>
      <w:r>
        <w:t>Established role continuity with preserved income structure.</w:t>
      </w:r>
    </w:p>
    <w:p>
      <w:r>
        <w:t>Transition Path</w:t>
      </w:r>
    </w:p>
    <w:p>
      <w:r>
        <w:t>Reduced immediate stability with greater structural re-positioning potential.</w:t>
      </w:r>
    </w:p>
    <w:p>
      <w:r>
        <w:t>Value Reading</w:t>
      </w:r>
    </w:p>
    <w:p>
      <w:r>
        <w:t>The current path preserves near-term income stability; transition value accrues only if downside buffers are strengthened before commitment.</w:t>
      </w:r>
    </w:p>
    <w:p>
      <w:r>
        <w:t>Value Implication</w:t>
      </w:r>
    </w:p>
    <w:p>
      <w:r>
        <w:t>The primary tension pits near-term downside exposure directly against long-horizon positioning optionality — and that tension cannot be resolved by preference alone.</w:t>
      </w:r>
    </w:p>
    <w:sectPr w:rsidR="00FC693F" w:rsidRPr="0006063C" w:rsidSect="00034616">
      <w:pgSz w:w="12240" w:h="15840"/>
      <w:pgMar w:top="1440" w:right="1138" w:bottom="1440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