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80"/>
      </w:pPr>
    </w:p>
    <w:p>
      <w:pPr>
        <w:spacing w:after="160"/>
      </w:pPr>
      <w:r>
        <w:rPr>
          <w:b w:val="0"/>
        </w:rPr>
        <w:t>{{executive_summary.personal_exposure_line}}</w:t>
      </w:r>
    </w:p>
    <w:p>
      <w:pPr>
        <w:spacing w:after="0"/>
      </w:pPr>
      <w:r>
        <w:rPr>
          <w:b w:val="0"/>
        </w:rPr>
        <w:t>Temperament Summary</w:t>
      </w:r>
    </w:p>
    <w:p>
      <w:pPr>
        <w:spacing w:after="160"/>
      </w:pPr>
      <w:r>
        <w:rPr>
          <w:b w:val="0"/>
        </w:rPr>
        <w:t>{{executive_summary.personal_exposure_line}}</w:t>
      </w:r>
    </w:p>
    <w:p>
      <w:pPr>
        <w:spacing w:after="0"/>
      </w:pPr>
      <w:r>
        <w:rPr>
          <w:b w:val="0"/>
        </w:rPr>
        <w:t>Mobility Summary</w:t>
      </w:r>
    </w:p>
    <w:p>
      <w:pPr>
        <w:spacing w:after="160"/>
      </w:pPr>
      <w:r>
        <w:rPr>
          <w:b w:val="0"/>
        </w:rPr>
        <w:t>{{executive_summary.verdict_line}}</w:t>
      </w:r>
    </w:p>
    <w:p>
      <w:pPr>
        <w:spacing w:after="0"/>
      </w:pPr>
      <w:r>
        <w:rPr>
          <w:b w:val="0"/>
        </w:rPr>
        <w:t>Value Summary</w:t>
      </w:r>
    </w:p>
    <w:p>
      <w:pPr>
        <w:spacing w:after="160"/>
      </w:pPr>
      <w:r>
        <w:rPr>
          <w:b w:val="0"/>
        </w:rPr>
        <w:t>{{executive_summary.structural_risk_line}}</w:t>
      </w:r>
    </w:p>
    <w:p>
      <w:pPr>
        <w:spacing w:after="0"/>
      </w:pPr>
      <w:r>
        <w:rPr>
          <w:b w:val="0"/>
        </w:rPr>
        <w:t>Risk Summary</w:t>
      </w:r>
    </w:p>
    <w:p>
      <w:pPr>
        <w:spacing w:after="160"/>
      </w:pPr>
      <w:r>
        <w:rPr>
          <w:b w:val="0"/>
        </w:rPr>
        <w:t>{{executive_summary.structural_outlook_line}}</w:t>
      </w:r>
    </w:p>
    <w:p>
      <w:pPr>
        <w:spacing w:after="0"/>
      </w:pPr>
      <w:r>
        <w:rPr>
          <w:b w:val="0"/>
        </w:rPr>
        <w:t>Core Structural Insight</w:t>
      </w:r>
    </w:p>
    <w:p>
      <w:pPr>
        <w:spacing w:after="160"/>
      </w:pPr>
      <w:r>
        <w:rPr>
          <w:b w:val="0"/>
        </w:rPr>
        <w:t>{{case.verdict_label}}</w:t>
      </w:r>
    </w:p>
    <w:p>
      <w:pPr>
        <w:spacing w:after="0"/>
      </w:pPr>
      <w:r>
        <w:rPr>
          <w:b w:val="0"/>
        </w:rPr>
        <w:t>Structural Reading</w:t>
      </w:r>
    </w:p>
    <w:p>
      <w:pPr>
        <w:spacing w:after="200"/>
      </w:pPr>
      <w:r>
        <w:rPr>
          <w:b/>
        </w:rPr>
        <w:t>Executive Dashboard</w:t>
      </w:r>
    </w:p>
    <w:p>
      <w:r>
        <w:rPr>
          <w:rFonts w:ascii="Garamond" w:hAnsi="Garamond"/>
          <w:b/>
          <w:sz w:val="40"/>
        </w:rPr>
        <w:t>AMC Strategic Career Decision Architecture</w:t>
      </w:r>
    </w:p>
    <w:p>
      <w:pPr>
        <w:spacing w:line="276" w:lineRule="auto"/>
      </w:pPr>
      <w:r>
        <w:rPr>
          <w:rFonts w:ascii="Calibri" w:hAnsi="Calibri"/>
          <w:sz w:val="22"/>
        </w:rPr>
        <w:t>Confidential Career Decision Report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Executive Overview</w:t>
      </w:r>
    </w:p>
    <w:p>
      <w:pPr>
        <w:spacing w:line="276" w:lineRule="auto"/>
      </w:pPr>
      <w:r>
        <w:rPr>
          <w:rFonts w:ascii="Calibri" w:hAnsi="Calibri"/>
          <w:sz w:val="22"/>
        </w:rPr>
        <w:t>{{case.verdict_label}}</w:t>
      </w:r>
    </w:p>
    <w:p/>
    <w:p>
      <w:r>
        <w:rPr>
          <w:rFonts w:ascii="Garamond" w:hAnsi="Garamond"/>
          <w:b/>
          <w:sz w:val="28"/>
        </w:rPr>
        <w:t>Executive Summary</w:t>
      </w:r>
    </w:p>
    <w:p>
      <w:pPr>
        <w:spacing w:before="40" w:after="40"/>
        <w:jc w:val="left"/>
      </w:pPr>
      <w:r>
        <w:rPr>
          <w:rFonts w:ascii="Calibri Light" w:hAnsi="Calibri Light" w:eastAsia="Calibri Light"/>
          <w:color w:val="7F7F7F"/>
          <w:sz w:val="18"/>
        </w:rPr>
        <w:t>Data completeness: {{executive_summary.assessment_basis_line}}</w:t>
      </w:r>
    </w:p>
    <w:p>
      <w:pPr>
        <w:spacing w:line="276" w:lineRule="auto"/>
      </w:pPr>
      <w:r>
        <w:rPr>
          <w:rFonts w:ascii="Calibri" w:hAnsi="Calibri"/>
          <w:sz w:val="22"/>
        </w:rPr>
        <w:t>Verdict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Outlook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Structural Risk — One-line structural summary.</w:t>
      </w:r>
    </w:p>
    <w:p>
      <w:pPr>
        <w:spacing w:line="276" w:lineRule="auto"/>
      </w:pPr>
      <w:r>
        <w:rPr>
          <w:rFonts w:ascii="Calibri" w:hAnsi="Calibri"/>
          <w:sz w:val="22"/>
        </w:rPr>
        <w:t>Personal &amp; Exposure — One-line structural summary.</w:t>
      </w:r>
    </w:p>
    <w:p/>
    <w:p>
      <w:r>
        <w:rPr>
          <w:b/>
        </w:rPr>
        <w:t>External Snapshot</w:t>
      </w:r>
    </w:p>
    <w:p>
      <w:r>
        <w:rPr>
          <w:b w:val="0"/>
        </w:rPr>
      </w:r>
    </w:p>
    <w:p>
      <w:r>
        <w:rPr>
          <w:b w:val="0"/>
        </w:rPr>
      </w:r>
    </w:p>
    <w:p>
      <w:r>
        <w:rPr>
          <w:b w:val="0"/>
        </w:rPr>
        <w:t>Competition Pressure</w:t>
      </w:r>
    </w:p>
    <w:p>
      <w:r>
        <w:rPr>
          <w:b w:val="0"/>
        </w:rPr>
      </w:r>
    </w:p>
    <w:p>
      <w:r>
        <w:rPr>
          <w:b w:val="0"/>
        </w:rPr>
        <w:t>Economic Pressure</w:t>
      </w:r>
    </w:p>
    <w:p>
      <w:r>
        <w:rPr>
          <w:b w:val="0"/>
        </w:rPr>
      </w:r>
    </w:p>
    <w:p>
      <w:r>
        <w:rPr>
          <w:b w:val="0"/>
        </w:rPr>
        <w:t>Transition Friction</w:t>
      </w:r>
    </w:p>
    <w:p>
      <w:r>
        <w:rPr>
          <w:b w:val="0"/>
        </w:rPr>
      </w:r>
    </w:p>
    <w:p>
      <w:r>
        <w:rPr>
          <w:b/>
        </w:rPr>
        <w:t>External Comparative Snapshot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Market Direction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Competition Pressure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Economic Pressure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  <w:tr>
        <w:tc>
          <w:tcPr>
            <w:tcW w:type="dxa" w:w="3321"/>
          </w:tcPr>
          <w:p>
            <w:r>
              <w:t>Transition Friction</w:t>
            </w:r>
          </w:p>
        </w:tc>
        <w:tc>
          <w:tcPr>
            <w:tcW w:type="dxa" w:w="3321"/>
          </w:tcPr>
          <w:p>
            <w:r/>
          </w:p>
        </w:tc>
        <w:tc>
          <w:tcPr>
            <w:tcW w:type="dxa" w:w="3321"/>
          </w:tcPr>
          <w:p>
            <w:r/>
          </w:p>
        </w:tc>
      </w:tr>
    </w:tbl>
    <w:p>
      <w:r>
        <w:t>● Elevated = concentrated structural pressure</w:t>
      </w:r>
    </w:p>
    <w:p>
      <w:r>
        <w:t>◐ Moderate = manageable but active pressure</w:t>
      </w:r>
    </w:p>
    <w:p>
      <w:r>
        <w:t>○ Contained = lower structural pressure</w:t>
      </w:r>
    </w:p>
    <w:p>
      <w:r>
        <w:rPr>
          <w:b/>
        </w:rPr>
        <w:t>Pressure / Friction</w:t>
      </w:r>
    </w:p>
    <w:p>
      <w:pPr/>
      <w:r>
        <w:t>▼ Constrained = structurally limited direction</w:t>
      </w:r>
    </w:p>
    <w:p>
      <w:r>
        <w:t>◆ Mixed = balanced but uneven direction</w:t>
      </w:r>
    </w:p>
    <w:p>
      <w:r>
        <w:t>▲ Supportive = structurally favorable direction</w:t>
      </w:r>
    </w:p>
    <w:p>
      <w:r>
        <w:rPr>
          <w:b/>
        </w:rPr>
        <w:t>Market Direction</w:t>
      </w:r>
    </w:p>
    <w:p>
      <w:r>
        <w:t>Comparative Reading</w:t>
      </w:r>
    </w:p>
    <w:p>
      <w:r/>
    </w:p>
    <w:p>
      <w:r>
        <w:t>Comparative Implication</w:t>
      </w:r>
    </w:p>
    <w:p>
      <w:r/>
    </w:p>
    <w:p>
      <w:r>
        <w:rPr>
          <w:rFonts w:ascii="Garamond" w:hAnsi="Garamond"/>
          <w:b/>
          <w:sz w:val="28"/>
        </w:rPr>
        <w:t>Five-Factor Structural Matrix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3321"/>
        <w:gridCol w:w="3321"/>
        <w:gridCol w:w="3321"/>
      </w:tblGrid>
      <w:tr>
        <w:tc>
          <w:tcPr>
            <w:tcW w:type="dxa" w:w="3321"/>
          </w:tcPr>
          <w:p>
            <w:r>
              <w:t>Dimension</w:t>
            </w:r>
          </w:p>
        </w:tc>
        <w:tc>
          <w:tcPr>
            <w:tcW w:type="dxa" w:w="3321"/>
          </w:tcPr>
          <w:p>
            <w:r>
              <w:t>Score (0–2)</w:t>
            </w:r>
          </w:p>
        </w:tc>
        <w:tc>
          <w:tcPr>
            <w:tcW w:type="dxa" w:w="3321"/>
          </w:tcPr>
          <w:p>
            <w:r>
              <w:t>Visual</w:t>
            </w:r>
          </w:p>
        </w:tc>
      </w:tr>
      <w:tr>
        <w:tc>
          <w:tcPr>
            <w:tcW w:type="dxa" w:w="3321"/>
          </w:tcPr>
          <w:p>
            <w:r>
              <w:t>Market &amp; Role Outlook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Company Stability &amp; Governance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FIFWM Structural Risk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Personal Fit &amp; Temperament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  <w:tr>
        <w:tc>
          <w:tcPr>
            <w:tcW w:type="dxa" w:w="3321"/>
          </w:tcPr>
          <w:p>
            <w:r>
              <w:t>Upside vs Downside Exposure</w:t>
            </w:r>
          </w:p>
        </w:tc>
        <w:tc>
          <w:tcPr>
            <w:tcW w:type="dxa" w:w="3321"/>
          </w:tcPr>
          <w:p>
            <w:r>
              <w:t xml:space="preserve"> / 2</w:t>
            </w:r>
          </w:p>
        </w:tc>
        <w:tc>
          <w:tcPr>
            <w:tcW w:type="dxa" w:w="3321"/>
          </w:tcPr>
          <w:p>
            <w:r>
              <w:t>▮▯▯</w:t>
            </w:r>
          </w:p>
        </w:tc>
      </w:tr>
    </w:tbl>
    <w:p>
      <w:r>
        <w:br w:type="page"/>
      </w:r>
    </w:p>
    <w:p>
      <w:r>
        <w:rPr>
          <w:rFonts w:ascii="Garamond" w:hAnsi="Garamond"/>
          <w:b/>
          <w:sz w:val="36"/>
        </w:rPr>
        <w:t>Structural Diagnosis</w:t>
      </w:r>
    </w:p>
    <w:p>
      <w:r>
        <w:rPr>
          <w:rFonts w:ascii="Garamond" w:hAnsi="Garamond"/>
          <w:b/>
          <w:sz w:val="28"/>
        </w:rPr>
        <w:t>Market &amp; Role Outlook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Company Stability &amp; Governance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FIFWM Structural Risk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Personal Fit &amp; Temperament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rPr>
          <w:rFonts w:ascii="Garamond" w:hAnsi="Garamond"/>
          <w:b/>
          <w:sz w:val="28"/>
        </w:rPr>
        <w:t>Upside vs Downside Exposure</w:t>
      </w:r>
    </w:p>
    <w:p>
      <w:pPr>
        <w:spacing w:line="276" w:lineRule="auto"/>
      </w:pPr>
      <w:r>
        <w:rPr>
          <w:rFonts w:ascii="Calibri" w:hAnsi="Calibri"/>
          <w:sz w:val="22"/>
        </w:rPr>
        <w:t>Score — / 2</w:t>
      </w:r>
    </w:p>
    <w:p>
      <w:pPr>
        <w:spacing w:line="276" w:lineRule="auto"/>
      </w:pPr>
      <w:r>
        <w:rPr>
          <w:rFonts w:ascii="Calibri" w:hAnsi="Calibri"/>
          <w:sz w:val="22"/>
        </w:rPr>
        <w:t>Core structural read (1–2 lines).</w:t>
      </w:r>
    </w:p>
    <w:p>
      <w:pPr>
        <w:spacing w:line="276" w:lineRule="auto"/>
      </w:pPr>
      <w:r>
        <w:rPr>
          <w:rFonts w:ascii="Calibri" w:hAnsi="Calibri"/>
          <w:sz w:val="22"/>
        </w:rPr>
        <w:t>Strategic Implication — One line only.</w:t>
      </w:r>
    </w:p>
    <w:p/>
    <w:p>
      <w:r>
        <w:br w:type="page"/>
      </w:r>
    </w:p>
    <w:p>
      <w:r>
        <w:rPr>
          <w:rFonts w:ascii="Garamond" w:hAnsi="Garamond"/>
          <w:b/>
          <w:sz w:val="36"/>
        </w:rPr>
        <w:t>Hybrid Exploration Plan (3–6 Months)</w:t>
      </w:r>
    </w:p>
    <w:p>
      <w:r>
        <w:rPr>
          <w:rFonts w:ascii="Garamond" w:hAnsi="Garamond"/>
          <w:b/>
          <w:sz w:val="28"/>
        </w:rPr>
        <w:t>Experiment 1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2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Experiment 3 — Title</w:t>
      </w:r>
    </w:p>
    <w:p>
      <w:pPr>
        <w:spacing w:line="276" w:lineRule="auto"/>
      </w:pPr>
      <w:r>
        <w:rPr>
          <w:rFonts w:ascii="Calibri" w:hAnsi="Calibri"/>
          <w:sz w:val="22"/>
        </w:rPr>
        <w:t>Context note (1 line).</w:t>
      </w:r>
    </w:p>
    <w:p>
      <w:pPr>
        <w:spacing w:line="276" w:lineRule="auto"/>
      </w:pPr>
      <w:r>
        <w:rPr>
          <w:rFonts w:ascii="Calibri" w:hAnsi="Calibri"/>
          <w:sz w:val="22"/>
        </w:rPr>
        <w:t>Objective:</w:t>
      </w:r>
    </w:p>
    <w:p>
      <w:pPr>
        <w:spacing w:line="276" w:lineRule="auto"/>
      </w:pPr>
      <w:r>
        <w:rPr>
          <w:rFonts w:ascii="Calibri" w:hAnsi="Calibri"/>
          <w:sz w:val="22"/>
        </w:rPr>
        <w:t>Timeline:</w:t>
      </w:r>
    </w:p>
    <w:p>
      <w:pPr>
        <w:spacing w:line="276" w:lineRule="auto"/>
      </w:pPr>
      <w:r>
        <w:rPr>
          <w:rFonts w:ascii="Calibri" w:hAnsi="Calibri"/>
          <w:sz w:val="22"/>
        </w:rPr>
        <w:t>Success Signal:</w:t>
      </w:r>
    </w:p>
    <w:p>
      <w:pPr>
        <w:spacing w:line="276" w:lineRule="auto"/>
      </w:pPr>
      <w:r>
        <w:rPr>
          <w:rFonts w:ascii="Calibri" w:hAnsi="Calibri"/>
          <w:sz w:val="22"/>
        </w:rPr>
        <w:t>Abort Trigger:</w:t>
      </w:r>
    </w:p>
    <w:p/>
    <w:p>
      <w:r>
        <w:rPr>
          <w:rFonts w:ascii="Garamond" w:hAnsi="Garamond"/>
          <w:b/>
          <w:sz w:val="28"/>
        </w:rPr>
        <w:t>Commitment Condition</w:t>
      </w:r>
    </w:p>
    <w:p>
      <w:pPr>
        <w:spacing w:line="276" w:lineRule="auto"/>
      </w:pPr>
      <w:r>
        <w:rPr>
          <w:rFonts w:ascii="Calibri" w:hAnsi="Calibri"/>
          <w:sz w:val="22"/>
        </w:rPr>
        <w:t>Commitment appears structurally justified only if defined signals remain stable across review cycles.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90-Day Execution Map</w:t>
      </w:r>
    </w:p>
    <w:p>
      <w:pPr>
        <w:spacing w:line="276" w:lineRule="auto"/>
      </w:pPr>
      <w:r>
        <w:rPr>
          <w:rFonts w:ascii="Calibri" w:hAnsi="Calibri"/>
          <w:sz w:val="22"/>
        </w:rPr>
        <w:t>Month 1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2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Month 3 —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36"/>
        </w:rPr>
        <w:t>Assumptions &amp; Critical Watch List</w:t>
      </w:r>
    </w:p>
    <w:p>
      <w:r>
        <w:rPr>
          <w:rFonts w:ascii="Garamond" w:hAnsi="Garamond"/>
          <w:b/>
          <w:sz w:val="28"/>
        </w:rPr>
        <w:t>Key Assumptions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rPr>
          <w:rFonts w:ascii="Garamond" w:hAnsi="Garamond"/>
          <w:b/>
          <w:sz w:val="28"/>
        </w:rPr>
        <w:t>Critical Watch List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pPr>
        <w:spacing w:line="276" w:lineRule="auto"/>
      </w:pPr>
      <w:r>
        <w:rPr>
          <w:rFonts w:ascii="Calibri" w:hAnsi="Calibri"/>
          <w:sz w:val="22"/>
        </w:rPr>
        <w:t>•</w:t>
      </w:r>
    </w:p>
    <w:p>
      <w:r>
        <w:br w:type="page"/>
      </w:r>
    </w:p>
    <w:p>
      <w:r>
        <w:rPr>
          <w:rFonts w:ascii="Garamond" w:hAnsi="Garamond"/>
          <w:b/>
          <w:sz w:val="28"/>
        </w:rPr>
        <w:t>AMC Framework Note</w:t>
      </w:r>
    </w:p>
    <w:p>
      <w:pPr>
        <w:spacing w:line="276" w:lineRule="auto"/>
      </w:pPr>
      <w:r>
        <w:rPr>
          <w:rFonts w:ascii="Calibri" w:hAnsi="Calibri"/>
          <w:sz w:val="22"/>
        </w:rPr>
        <w:t>This report applies the AMC Strategic Career Decision Architecture to map structural risk and decision exposure.</w:t>
      </w:r>
    </w:p>
    <w:p>
      <w:r>
        <w:rPr>
          <w:b/>
        </w:rPr>
        <w:t>Career Mobility Structure</w:t>
      </w:r>
    </w:p>
    <w:p>
      <w:r>
        <w:rPr>
          <w:b/>
        </w:rPr>
        <w:t>Strategic Temperament</w:t>
      </w:r>
    </w:p>
    <w:p>
      <w:r>
        <w:t>Temperament Profile</w:t>
      </w:r>
    </w:p>
    <w:p>
      <w:r/>
    </w:p>
    <w:p>
      <w:r>
        <w:t>Temperament Reading</w:t>
      </w:r>
    </w:p>
    <w:p>
      <w:r/>
    </w:p>
    <w:p>
      <w:r>
        <w:t>Temperament Implication</w:t>
      </w:r>
    </w:p>
    <w:p>
      <w:r/>
    </w:p>
    <w:p>
      <w:r>
        <w:t>Mobility Type</w:t>
      </w:r>
    </w:p>
    <w:p>
      <w:r/>
    </w:p>
    <w:p>
      <w:r>
        <w:t>Mobility Reading</w:t>
      </w:r>
    </w:p>
    <w:p>
      <w:r/>
    </w:p>
    <w:p>
      <w:r>
        <w:t>Mobility Implication</w:t>
      </w:r>
    </w:p>
    <w:p>
      <w:r/>
    </w:p>
    <w:p>
      <w:r>
        <w:rPr>
          <w:b w:val="0"/>
        </w:rPr>
        <w:t>Internal Structural Snapshot</w:t>
      </w:r>
    </w:p>
    <w:p>
      <w:r>
        <w:t>{{diagnosis.personal_fit.read}}</w:t>
      </w:r>
    </w:p>
    <w:p>
      <w:r>
        <w:rPr>
          <w:b/>
        </w:rPr>
        <w:t>Career Value Structure</w:t>
      </w:r>
    </w:p>
    <w:p>
      <w:r>
        <w:t>Current Path</w:t>
      </w:r>
    </w:p>
    <w:p>
      <w:r/>
    </w:p>
    <w:p>
      <w:r>
        <w:t>Transition Path</w:t>
      </w:r>
    </w:p>
    <w:p>
      <w:r/>
    </w:p>
    <w:p>
      <w:r>
        <w:t>Value Reading</w:t>
      </w:r>
    </w:p>
    <w:p>
      <w:r/>
    </w:p>
    <w:p>
      <w:r>
        <w:t>Value Implication</w:t>
      </w:r>
    </w:p>
    <w:p>
      <w:r/>
    </w:p>
    <w:p/>
    <w:p>
      <w:r>
        <w:t>Executive Summary / Overview</w:t>
      </w:r>
    </w:p>
    <w:p>
      <w:r>
        <w:t>{{case.verdict_label}}</w:t>
      </w:r>
    </w:p>
    <w:p>
      <w:r>
        <w:t>{{executive_summary.verdict_line}}</w:t>
      </w:r>
    </w:p>
    <w:p>
      <w:r>
        <w:t>{{executive_summary.structural_outlook_line}}</w:t>
      </w:r>
    </w:p>
    <w:p>
      <w:r>
        <w:t>{{executive_summary.structural_risk_line}}</w:t>
      </w:r>
    </w:p>
    <w:p>
      <w:r>
        <w:t>{{executive_summary.personal_exposure_line}}</w:t>
      </w:r>
    </w:p>
    <w:p>
      <w:r>
        <w:t>{{executive_summary.assessment_basis_line}}</w:t>
      </w:r>
    </w:p>
    <w:p/>
    <w:p>
      <w:r>
        <w:t>Diagnosis</w:t>
      </w:r>
    </w:p>
    <w:p>
      <w:r>
        <w:t>{{matrix.market_outlook.visual}}</w:t>
      </w:r>
    </w:p>
    <w:p>
      <w:r>
        <w:t>{{diagnosis.market_outlook.read}}</w:t>
      </w:r>
    </w:p>
    <w:p>
      <w:r>
        <w:t>{{diagnosis.market_outlook.risk}}</w:t>
      </w:r>
    </w:p>
    <w:p>
      <w:r>
        <w:t>{{diagnosis.market_outlook.condition}}</w:t>
      </w:r>
    </w:p>
    <w:p>
      <w:r>
        <w:t>{{matrix.company_stability.visual}}</w:t>
      </w:r>
    </w:p>
    <w:p>
      <w:r>
        <w:t>{{diagnosis.company_stability.read}}</w:t>
      </w:r>
    </w:p>
    <w:p>
      <w:r>
        <w:t>{{diagnosis.company_stability.risk}}</w:t>
      </w:r>
    </w:p>
    <w:p>
      <w:r>
        <w:t>{{diagnosis.company_stability.condition}}</w:t>
      </w:r>
    </w:p>
    <w:p>
      <w:r>
        <w:t>{{matrix.fifwm_risk.visual}}</w:t>
      </w:r>
    </w:p>
    <w:p>
      <w:r>
        <w:t>{{diagnosis.fifwm_risk.read}}</w:t>
      </w:r>
    </w:p>
    <w:p>
      <w:r>
        <w:t>{{diagnosis.fifwm_risk.risk}}</w:t>
      </w:r>
    </w:p>
    <w:p>
      <w:r>
        <w:t>{{diagnosis.fifwm_risk.condition}}</w:t>
      </w:r>
    </w:p>
    <w:p>
      <w:r>
        <w:t>{{matrix.personal_fit.visual}}</w:t>
      </w:r>
    </w:p>
    <w:p>
      <w:r>
        <w:t>{{diagnosis.personal_fit.read}}</w:t>
      </w:r>
    </w:p>
    <w:p>
      <w:r>
        <w:t>{{diagnosis.personal_fit.risk}}</w:t>
      </w:r>
    </w:p>
    <w:p>
      <w:r>
        <w:t>{{diagnosis.personal_fit.condition}}</w:t>
      </w:r>
    </w:p>
    <w:p>
      <w:r>
        <w:t>{{matrix.upside_downside.visual}}</w:t>
      </w:r>
    </w:p>
    <w:p>
      <w:r>
        <w:t>{{diagnosis.upside_downside.read}}</w:t>
      </w:r>
    </w:p>
    <w:p>
      <w:r>
        <w:t>{{diagnosis.upside_downside.risk}}</w:t>
      </w:r>
    </w:p>
    <w:p>
      <w:r>
        <w:t>{{diagnosis.upside_downside.condition}}</w:t>
      </w:r>
    </w:p>
    <w:p/>
    <w:p>
      <w:r>
        <w:t>Exploration Plan</w:t>
      </w:r>
    </w:p>
    <w:p>
      <w:r>
        <w:t>{{exploration_plan.experiment_1.timeline}}</w:t>
      </w:r>
    </w:p>
    <w:p>
      <w:r>
        <w:t>{{exploration_plan.experiment_1.objective}}</w:t>
      </w:r>
    </w:p>
    <w:p>
      <w:r>
        <w:t>{{exploration_plan.experiment_1.design}}</w:t>
      </w:r>
    </w:p>
    <w:p>
      <w:r>
        <w:t>{{exploration_plan.experiment_1.validation_signal}}</w:t>
      </w:r>
    </w:p>
    <w:p>
      <w:r>
        <w:t>{{exploration_plan.experiment_1.stop_or_scale_rule}}</w:t>
      </w:r>
    </w:p>
    <w:p>
      <w:r>
        <w:t>{{exploration_plan.experiment_2.timeline}}</w:t>
      </w:r>
    </w:p>
    <w:p>
      <w:r>
        <w:t>{{exploration_plan.experiment_2.objective}}</w:t>
      </w:r>
    </w:p>
    <w:p>
      <w:r>
        <w:t>{{exploration_plan.experiment_2.design}}</w:t>
      </w:r>
    </w:p>
    <w:p>
      <w:r>
        <w:t>{{exploration_plan.experiment_2.validation_signal}}</w:t>
      </w:r>
    </w:p>
    <w:p>
      <w:r>
        <w:t>{{exploration_plan.experiment_2.stop_or_scale_rule}}</w:t>
      </w:r>
    </w:p>
    <w:p>
      <w:r>
        <w:t>{{exploration_plan.experiment_3.timeline}}</w:t>
      </w:r>
    </w:p>
    <w:p>
      <w:r>
        <w:t>{{exploration_plan.experiment_3.objective}}</w:t>
      </w:r>
    </w:p>
    <w:p>
      <w:r>
        <w:t>{{exploration_plan.experiment_3.design}}</w:t>
      </w:r>
    </w:p>
    <w:p>
      <w:r>
        <w:t>{{exploration_plan.experiment_3.validation_signal}}</w:t>
      </w:r>
    </w:p>
    <w:p>
      <w:r>
        <w:t>{{exploration_plan.experiment_3.stop_or_scale_rule}}</w:t>
      </w:r>
    </w:p>
    <w:p/>
    <w:p>
      <w:r>
        <w:t>Execution Map</w:t>
      </w:r>
    </w:p>
    <w:p>
      <w:r>
        <w:t>{{execution_map.phase_1.priority_action}}</w:t>
      </w:r>
    </w:p>
    <w:p>
      <w:r>
        <w:t>{{execution_map.phase_1.success_signal}}</w:t>
      </w:r>
    </w:p>
    <w:p>
      <w:r>
        <w:t>{{execution_map.phase_2.priority_action}}</w:t>
      </w:r>
    </w:p>
    <w:p>
      <w:r>
        <w:t>{{execution_map.phase_2.success_signal}}</w:t>
      </w:r>
    </w:p>
    <w:p>
      <w:r>
        <w:t>{{execution_map.phase_3.priority_action}}</w:t>
      </w:r>
    </w:p>
    <w:p>
      <w:r>
        <w:t>{{execution_map.phase_3.success_signal}}</w:t>
      </w:r>
    </w:p>
    <w:p/>
    <w:p>
      <w:r>
        <w:t>Assumptions Watchlist</w:t>
      </w:r>
    </w:p>
    <w:p>
      <w:r>
        <w:t>{{assumptions_watchlist.assumption_1.statement}}</w:t>
      </w:r>
    </w:p>
    <w:p>
      <w:r>
        <w:t>{{assumptions_watchlist.assumption_1.break_signal}}</w:t>
      </w:r>
    </w:p>
    <w:p>
      <w:r>
        <w:t>{{assumptions_watchlist.assumption_2.statement}}</w:t>
      </w:r>
    </w:p>
    <w:p>
      <w:r>
        <w:t>{{assumptions_watchlist.assumption_2.break_signal}}</w:t>
      </w:r>
    </w:p>
    <w:p>
      <w:r>
        <w:t>{{assumptions_watchlist.assumption_3.statement}}</w:t>
      </w:r>
    </w:p>
    <w:p>
      <w:r>
        <w:t>{{assumptions_watchlist.assumption_3.break_signal}}</w:t>
      </w:r>
    </w:p>
    <w:p/>
    <w:p>
      <w:r>
        <w:t>Commitment</w:t>
      </w:r>
    </w:p>
    <w:p>
      <w:r>
        <w:t>{{commitment.validation_condition}}</w:t>
      </w:r>
    </w:p>
    <w:p>
      <w:r>
        <w:t>{{commitment.readiness_condition}}</w:t>
      </w:r>
    </w:p>
    <w:p>
      <w:r>
        <w:t>{{commitment.support_condition}}</w:t>
      </w:r>
    </w:p>
    <w:p>
      <w:r>
        <w:t>{{commitment.commitment_condition}}</w:t>
      </w:r>
    </w:p>
    <w:p>
      <w:r>
        <w:t>{{commitment.reassessment_trigger}}</w:t>
      </w:r>
    </w:p>
    <w:p/>
    <w:p>
      <w:r>
        <w:t>[[IF_CASE_TYPE:comparative]]</w:t>
      </w:r>
    </w:p>
    <w:p>
      <w:r>
        <w:t>Comparative Labels (comparative only)</w:t>
      </w:r>
    </w:p>
    <w:p>
      <w:r>
        <w:t>{{case.option_a_label}}</w:t>
      </w:r>
    </w:p>
    <w:p>
      <w:r>
        <w:t>[[END_IF_CASE_TYPE]]</w:t>
      </w:r>
    </w:p>
    <w:p>
      <w:r>
        <w:t>{{case.option_b_label}}</w:t>
      </w:r>
    </w:p>
    <w:sectPr w:rsidR="00FC693F" w:rsidRPr="0006063C" w:rsidSect="00034616">
      <w:pgSz w:w="12240" w:h="15840"/>
      <w:pgMar w:top="1440" w:right="1138" w:bottom="1440" w:left="113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