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</w:t>
      </w:r>
    </w:p>
    <w:p>
      <w:r>
        <w:t>Conditional Go</w:t>
      </w:r>
    </w:p>
    <w:p>
      <w:r>
        <w:t>Current decision frame remains condition-dependent rather than commitment-ready.</w:t>
      </w:r>
    </w:p>
    <w:p>
      <w:r>
        <w:t>Structural upside remains plausible, though evidence concentration is uneven across key variables.</w:t>
      </w:r>
    </w:p>
    <w:p>
      <w:r>
        <w:t>Primary risk remains premature commitment under partial validation and timing compression.</w:t>
      </w:r>
    </w:p>
    <w:p>
      <w:r>
        <w:t>Exposure concentrates in transition friction and support-base variability.</w:t>
      </w:r>
    </w:p>
    <w:p>
      <w:r>
        <w:t>Assessment basis: Qualitative structural signals with sufficient input depth for decision framing.</w:t>
      </w:r>
    </w:p>
    <w:p>
      <w:r>
        <w:t>Diagnosis</w:t>
      </w:r>
    </w:p>
    <w:p>
      <w:r>
        <w:t>◆ Partial</w:t>
      </w:r>
    </w:p>
    <w:p>
      <w:r>
        <w:t>External readability appears mixed with selective demand visibility.</w:t>
      </w:r>
    </w:p>
    <w:p>
      <w:r>
        <w:t>Signal asymmetry may overstate near-term transferability.</w:t>
      </w:r>
    </w:p>
    <w:p>
      <w:r>
        <w:t>Defensibility improves with repeated external validation across target contexts.</w:t>
      </w:r>
    </w:p>
    <w:p>
      <w:r>
        <w:t>◆ Partial</w:t>
      </w:r>
    </w:p>
    <w:p>
      <w:r>
        <w:t>Institutional stability appears partial with active uncertainty.</w:t>
      </w:r>
    </w:p>
    <w:p>
      <w:r>
        <w:t>Internal volatility may compress decision timing before evidence matures.</w:t>
      </w:r>
    </w:p>
    <w:p>
      <w:r>
        <w:t>Stronger defensibility requires clearer stability signals across decision horizon.</w:t>
      </w:r>
    </w:p>
    <w:p>
      <w:r>
        <w:t>◆ Partial</w:t>
      </w:r>
    </w:p>
    <w:p>
      <w:r>
        <w:t>Downside containment appears partial and unevenly reinforced.</w:t>
      </w:r>
    </w:p>
    <w:p>
      <w:r>
        <w:t>Buffer fragility may increase sensitivity to execution variance.</w:t>
      </w:r>
    </w:p>
    <w:p>
      <w:r>
        <w:t>Containment strengthens when fallback and cash-flow resilience are explicitly confirmed.</w:t>
      </w:r>
    </w:p>
    <w:p>
      <w:r>
        <w:t>◆ Partial</w:t>
      </w:r>
    </w:p>
    <w:p>
      <w:r>
        <w:t>Role-direction fit appears partial with unresolved alignment tension.</w:t>
      </w:r>
    </w:p>
    <w:p>
      <w:r>
        <w:t>Preference may be over-weighted relative to execution readiness.</w:t>
      </w:r>
    </w:p>
    <w:p>
      <w:r>
        <w:t>Fit defensibility improves with concrete role-prototype evidence.</w:t>
      </w:r>
    </w:p>
    <w:p>
      <w:r>
        <w:t>◆ Partial</w:t>
      </w:r>
    </w:p>
    <w:p>
      <w:r>
        <w:t>Upside and downside remain unevenly balanced at current evidence depth.</w:t>
      </w:r>
    </w:p>
    <w:p>
      <w:r>
        <w:t>Potential upside may be overweighted under incomplete burden visibility.</w:t>
      </w:r>
    </w:p>
    <w:p>
      <w:r>
        <w:t>Balance improves when upside pathways and downside controls are jointly validated.</w:t>
      </w:r>
    </w:p>
    <w:p>
      <w:r>
        <w:t>Exploration Plan</w:t>
      </w:r>
    </w:p>
    <w:p>
      <w:r>
        <w:t>Weeks 1–6</w:t>
      </w:r>
    </w:p>
    <w:p>
      <w:r>
        <w:t>Test external role portability under realistic market conditions.</w:t>
      </w:r>
    </w:p>
    <w:p>
      <w:r>
        <w:t>Run targeted outreach and structured conversations across matched role clusters.</w:t>
      </w:r>
    </w:p>
    <w:p>
      <w:r>
        <w:t>Consistent pull from multiple independent hiring-side signals.</w:t>
      </w:r>
    </w:p>
    <w:p>
      <w:r>
        <w:t>Scale if repeated traction appears; stop if signal remains sporadic.</w:t>
      </w:r>
    </w:p>
    <w:p>
      <w:r>
        <w:t>Weeks 3–8</w:t>
      </w:r>
    </w:p>
    <w:p>
      <w:r>
        <w:t>Test execution readiness under constrained operating assumptions.</w:t>
      </w:r>
    </w:p>
    <w:p>
      <w:r>
        <w:t>Prototype transition workload and decision cadence with explicit thresholds.</w:t>
      </w:r>
    </w:p>
    <w:p>
      <w:r>
        <w:t>Sustained execution quality without material stability degradation.</w:t>
      </w:r>
    </w:p>
    <w:p>
      <w:r>
        <w:t>Scale if thresholds hold; pause if burden exceeds tolerance.</w:t>
      </w:r>
    </w:p>
    <w:p>
      <w:r>
        <w:t>Weeks 6–12</w:t>
      </w:r>
    </w:p>
    <w:p>
      <w:r>
        <w:t>Test support-base durability under commitment scenarios.</w:t>
      </w:r>
    </w:p>
    <w:p>
      <w:r>
        <w:t>Validate sponsor, fallback, and sequencing dependencies in advance.</w:t>
      </w:r>
    </w:p>
    <w:p>
      <w:r>
        <w:t>Support dependencies close with low residual uncertainty.</w:t>
      </w:r>
    </w:p>
    <w:p>
      <w:r>
        <w:t>Scale on closed dependencies; stop on unresolved critical gaps.</w:t>
      </w:r>
    </w:p>
    <w:p>
      <w:r>
        <w:t>Execution Map</w:t>
      </w:r>
    </w:p>
    <w:p>
      <w:r>
        <w:t>Consolidate decision assumptions and evidence thresholds.</w:t>
      </w:r>
    </w:p>
    <w:p>
      <w:r>
        <w:t>Threshold set is documented and agreed for evaluation.</w:t>
      </w:r>
    </w:p>
    <w:p>
      <w:r>
        <w:t>Run validation sequence across highest-uncertainty variables.</w:t>
      </w:r>
    </w:p>
    <w:p>
      <w:r>
        <w:t>Core uncertainties show stable directional resolution.</w:t>
      </w:r>
    </w:p>
    <w:p>
      <w:r>
        <w:t>Align commitment timing with validated support conditions.</w:t>
      </w:r>
    </w:p>
    <w:p>
      <w:r>
        <w:t>Commitment conditions are met without unresolved blockers.</w:t>
      </w:r>
    </w:p>
    <w:p>
      <w:r>
        <w:t>Assumptions Watchlist</w:t>
      </w:r>
    </w:p>
    <w:p>
      <w:r>
        <w:t>External demand remains accessible in target segment.</w:t>
      </w:r>
    </w:p>
    <w:p>
      <w:r>
        <w:t>Repeated market feedback shows low conversion despite fit.</w:t>
      </w:r>
    </w:p>
    <w:p>
      <w:r>
        <w:t>Support structure can absorb transition load.</w:t>
      </w:r>
    </w:p>
    <w:p>
      <w:r>
        <w:t>Support dependencies remain unresolved at decision threshold.</w:t>
      </w:r>
    </w:p>
    <w:p>
      <w:r>
        <w:t>Execution readiness will mature within the planned window.</w:t>
      </w:r>
    </w:p>
    <w:p>
      <w:r>
        <w:t>Readiness indicators stall across consecutive checkpoints.</w:t>
      </w:r>
    </w:p>
    <w:p>
      <w:r>
        <w:t>Commitment</w:t>
      </w:r>
    </w:p>
    <w:p>
      <w:r>
        <w:t>[Not applicable]</w:t>
      </w:r>
    </w:p>
    <w:p>
      <w:r>
        <w:t>[Not applicable]</w:t>
      </w:r>
    </w:p>
    <w:p>
      <w:r>
        <w:t>[Not applicable]</w:t>
      </w:r>
    </w:p>
    <w:p>
      <w:r>
        <w:t>Commitment becomes more defensible once validation, readiness, and support thresholds align.</w:t>
      </w:r>
    </w:p>
    <w:p>
      <w:r>
        <w:t>Reassess if key assumptions break or signal quality deteriorates materially.</w:t>
      </w:r>
    </w:p>
    <w:p>
      <w:r/>
    </w:p>
    <w:p>
      <w:r/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