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rPr>
          <w:b w:val="0"/>
        </w:rPr>
        <w:t>External Snapshot — Industry Transition</w:t>
      </w:r>
    </w:p>
    <w:p>
      <w:r>
        <w:rPr>
          <w:b w:val="0"/>
        </w:rPr>
        <w:t>Market Direction</w:t>
      </w:r>
    </w:p>
    <w:p>
      <w:r>
        <w:rPr>
          <w:b w:val="0"/>
        </w:rPr>
        <w:t>Market direction appears mixed, with directional visibility present but still moderated by external policy and cycle uncertainty.</w:t>
      </w:r>
    </w:p>
    <w:p>
      <w:r>
        <w:rPr>
          <w:b w:val="0"/>
        </w:rPr>
        <w:t>Competition Pressure</w:t>
      </w:r>
    </w:p>
    <w:p>
      <w:r>
        <w:rPr>
          <w:b w:val="0"/>
        </w:rPr>
        <w:t>Competition pressure appears high, with screening intensity concentrated in credential gates and differentiated positioning requirements.</w:t>
      </w:r>
    </w:p>
    <w:p>
      <w:r>
        <w:rPr>
          <w:b w:val="0"/>
        </w:rPr>
        <w:t>Economic Pressure</w:t>
      </w:r>
    </w:p>
    <w:p>
      <w:r>
        <w:rPr>
          <w:b w:val="0"/>
        </w:rPr>
        <w:t>Economic pressure appears elevated, as near-term income continuity and downside buffer resilience remain structurally constrained.</w:t>
      </w:r>
    </w:p>
    <w:p>
      <w:r>
        <w:rPr>
          <w:b w:val="0"/>
        </w:rPr>
        <w:t>Transition Friction</w:t>
      </w:r>
    </w:p>
    <w:p>
      <w:r>
        <w:rPr>
          <w:b w:val="0"/>
        </w:rPr>
        <w:t>Transition friction appears high, with path irreversibility and mobility constraints increasing execution drag across commitment stages.</w:t>
      </w:r>
    </w:p>
    <w:p>
      <w:r>
        <w:rPr>
          <w:b/>
        </w:rPr>
        <w:t>External Comparative Snapshot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Option A</w:t>
            </w:r>
          </w:p>
        </w:tc>
        <w:tc>
          <w:tcPr>
            <w:tcW w:type="dxa" w:w="3321"/>
          </w:tcPr>
          <w:p>
            <w:r>
              <w:t>Option B</w:t>
            </w:r>
          </w:p>
        </w:tc>
      </w:tr>
      <w:tr>
        <w:tc>
          <w:tcPr>
            <w:tcW w:type="dxa" w:w="3321"/>
          </w:tcPr>
          <w:p>
            <w:r>
              <w:t>Market Direction</w:t>
            </w:r>
          </w:p>
        </w:tc>
        <w:tc>
          <w:tcPr>
            <w:tcW w:type="dxa" w:w="3321"/>
          </w:tcPr>
          <w:p>
            <w:r>
              <w:t>◆ Mixed</w:t>
            </w:r>
          </w:p>
        </w:tc>
        <w:tc>
          <w:tcPr>
            <w:tcW w:type="dxa" w:w="3321"/>
          </w:tcPr>
          <w:p>
            <w:r>
              <w:t>◆ Mixed</w:t>
            </w:r>
          </w:p>
        </w:tc>
      </w:tr>
      <w:tr>
        <w:tc>
          <w:tcPr>
            <w:tcW w:type="dxa" w:w="3321"/>
          </w:tcPr>
          <w:p>
            <w:r>
              <w:t>Competition Pressure</w:t>
            </w:r>
          </w:p>
        </w:tc>
        <w:tc>
          <w:tcPr>
            <w:tcW w:type="dxa" w:w="3321"/>
          </w:tcPr>
          <w:p>
            <w:r>
              <w:t>◐ Moderate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  <w:tr>
        <w:tc>
          <w:tcPr>
            <w:tcW w:type="dxa" w:w="3321"/>
          </w:tcPr>
          <w:p>
            <w:r>
              <w:t>Economic Pressure</w:t>
            </w:r>
          </w:p>
        </w:tc>
        <w:tc>
          <w:tcPr>
            <w:tcW w:type="dxa" w:w="3321"/>
          </w:tcPr>
          <w:p>
            <w:r>
              <w:t>○ Contained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  <w:tr>
        <w:tc>
          <w:tcPr>
            <w:tcW w:type="dxa" w:w="3321"/>
          </w:tcPr>
          <w:p>
            <w:r>
              <w:t>Transition Friction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</w:tbl>
    <w:p>
      <w:r>
        <w:t>Comparative Reading</w:t>
      </w:r>
    </w:p>
    <w:p>
      <w:r>
        <w:t>The two options differ primarily in continuity, external pressure, and transition cost.</w:t>
      </w:r>
    </w:p>
    <w:p>
      <w:r>
        <w:t>Comparative Implication</w:t>
      </w:r>
    </w:p>
    <w:p>
      <w:r>
        <w:t>The core trade-off lies between preserved continuity and greater long-horizon repositioning.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Commitment Condition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