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aramond" w:hAnsi="Garamond"/>
          <w:b/>
          <w:sz w:val="40"/>
        </w:rPr>
        <w:t>AMC Strategic Career Decision Architecture</w:t>
      </w:r>
    </w:p>
    <w:p>
      <w:pPr>
        <w:spacing w:line="276" w:lineRule="auto"/>
      </w:pPr>
      <w:r>
        <w:rPr>
          <w:rFonts w:ascii="Calibri" w:hAnsi="Calibri"/>
          <w:sz w:val="22"/>
        </w:rPr>
        <w:t>Confidential Career Decision Report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Executive Overview</w:t>
      </w:r>
    </w:p>
    <w:p>
      <w:r>
        <w:rPr>
          <w:rFonts w:ascii="Garamond" w:hAnsi="Garamond"/>
          <w:b/>
          <w:sz w:val="28"/>
        </w:rPr>
        <w:t>Decision Verdict</w:t>
      </w:r>
    </w:p>
    <w:p>
      <w:pPr>
        <w:spacing w:line="276" w:lineRule="auto"/>
      </w:pPr>
      <w:r>
        <w:rPr>
          <w:rFonts w:ascii="Calibri" w:hAnsi="Calibri"/>
          <w:sz w:val="22"/>
        </w:rPr>
        <w:t>Pivot – Hold</w:t>
      </w:r>
    </w:p>
    <w:p/>
    <w:p>
      <w:r>
        <w:rPr>
          <w:rFonts w:ascii="Garamond" w:hAnsi="Garamond"/>
          <w:b/>
          <w:sz w:val="28"/>
        </w:rPr>
        <w:t>Executive Summary</w:t>
      </w:r>
    </w:p>
    <w:p>
      <w:pPr>
        <w:spacing w:before="40" w:after="40"/>
        <w:jc w:val="left"/>
      </w:pPr>
      <w:r>
        <w:rPr>
          <w:rFonts w:ascii="Calibri Light" w:hAnsi="Calibri Light" w:eastAsia="Calibri Light"/>
          <w:color w:val="7F7F7F"/>
          <w:sz w:val="18"/>
        </w:rPr>
        <w:t>Data completeness: High (qualitative signals available).</w:t>
      </w:r>
    </w:p>
    <w:p>
      <w:pPr>
        <w:spacing w:line="276" w:lineRule="auto"/>
      </w:pPr>
      <w:r>
        <w:rPr>
          <w:rFonts w:ascii="Calibri" w:hAnsi="Calibri"/>
          <w:sz w:val="22"/>
        </w:rPr>
        <w:t>Verdict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Outlook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Risk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Personal &amp; Exposure — One-line structural summary.</w:t>
      </w:r>
    </w:p>
    <w:p/>
    <w:p>
      <w:r>
        <w:rPr>
          <w:b/>
        </w:rPr>
        <w:t>External Snapshot</w:t>
      </w:r>
    </w:p>
    <w:p>
      <w:r>
        <w:t>External Snapshot Type: industry_transition</w:t>
      </w:r>
    </w:p>
    <w:p>
      <w:r>
        <w:t>Hiring demand appears cyclical with moderate sensitivity to macro conditions.</w:t>
        <w:br/>
        <w:t>Signals indicate moderate competition with differentiation driven by domain expertise.</w:t>
        <w:br/>
        <w:t>Compensation bands remain relatively stable while upside dispersion increases at senior levels.</w:t>
        <w:br/>
        <w:t>Transition feasibility depends primarily on network access and role-specific signaling.</w:t>
      </w:r>
    </w:p>
    <w:p>
      <w:r>
        <w:rPr>
          <w:rFonts w:ascii="Garamond" w:hAnsi="Garamond"/>
          <w:b/>
          <w:sz w:val="28"/>
        </w:rPr>
        <w:t>Five-Factor Structural Matrix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1"/>
        <w:gridCol w:w="3321"/>
        <w:gridCol w:w="3321"/>
      </w:tblGrid>
      <w:tr>
        <w:tc>
          <w:tcPr>
            <w:tcW w:type="dxa" w:w="3321"/>
          </w:tcPr>
          <w:p>
            <w:r>
              <w:t>Dimension</w:t>
            </w:r>
          </w:p>
        </w:tc>
        <w:tc>
          <w:tcPr>
            <w:tcW w:type="dxa" w:w="3321"/>
          </w:tcPr>
          <w:p>
            <w:r>
              <w:t>Score (0–2)</w:t>
            </w:r>
          </w:p>
        </w:tc>
        <w:tc>
          <w:tcPr>
            <w:tcW w:type="dxa" w:w="3321"/>
          </w:tcPr>
          <w:p>
            <w:r>
              <w:t>Visual</w:t>
            </w:r>
          </w:p>
        </w:tc>
      </w:tr>
      <w:tr>
        <w:tc>
          <w:tcPr>
            <w:tcW w:type="dxa" w:w="3321"/>
          </w:tcPr>
          <w:p>
            <w:r>
              <w:t>Market &amp; Role Outlook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Company Stability &amp; Governance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FIFWM Structural Risk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Personal Fit &amp; Temperament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Upside vs Downside Exposure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</w:tbl>
    <w:p>
      <w:r>
        <w:br w:type="page"/>
      </w:r>
    </w:p>
    <w:p>
      <w:r>
        <w:rPr>
          <w:rFonts w:ascii="Garamond" w:hAnsi="Garamond"/>
          <w:b/>
          <w:sz w:val="36"/>
        </w:rPr>
        <w:t>Structural Diagnosis</w:t>
      </w:r>
    </w:p>
    <w:p>
      <w:r>
        <w:rPr>
          <w:rFonts w:ascii="Garamond" w:hAnsi="Garamond"/>
          <w:b/>
          <w:sz w:val="28"/>
        </w:rPr>
        <w:t>Market &amp; Role Outlook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Company Stability &amp; Governance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FIFWM Structural Risk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Personal Fit &amp; Temperament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Upside vs Downside Exposure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br w:type="page"/>
      </w:r>
    </w:p>
    <w:p>
      <w:r>
        <w:rPr>
          <w:rFonts w:ascii="Garamond" w:hAnsi="Garamond"/>
          <w:b/>
          <w:sz w:val="36"/>
        </w:rPr>
        <w:t>Hybrid Exploration Plan (3–6 Months)</w:t>
      </w:r>
    </w:p>
    <w:p>
      <w:r>
        <w:rPr>
          <w:rFonts w:ascii="Garamond" w:hAnsi="Garamond"/>
          <w:b/>
          <w:sz w:val="28"/>
        </w:rPr>
        <w:t>Experiment 1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2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3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Decision Gate Rule</w:t>
      </w:r>
    </w:p>
    <w:p>
      <w:pPr>
        <w:spacing w:line="276" w:lineRule="auto"/>
      </w:pPr>
      <w:r>
        <w:rPr>
          <w:rFonts w:ascii="Calibri" w:hAnsi="Calibri"/>
          <w:sz w:val="22"/>
        </w:rPr>
        <w:t>Commitment appears structurally justified only if defined signals remain stable across review cycles.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90-Day Execution Map</w:t>
      </w:r>
    </w:p>
    <w:p>
      <w:pPr>
        <w:spacing w:line="276" w:lineRule="auto"/>
      </w:pPr>
      <w:r>
        <w:rPr>
          <w:rFonts w:ascii="Calibri" w:hAnsi="Calibri"/>
          <w:sz w:val="22"/>
        </w:rPr>
        <w:t>Month 1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2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3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Assumptions &amp; Critical Watch List</w:t>
      </w:r>
    </w:p>
    <w:p>
      <w:r>
        <w:rPr>
          <w:rFonts w:ascii="Garamond" w:hAnsi="Garamond"/>
          <w:b/>
          <w:sz w:val="28"/>
        </w:rPr>
        <w:t>Key Assumptions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rPr>
          <w:rFonts w:ascii="Garamond" w:hAnsi="Garamond"/>
          <w:b/>
          <w:sz w:val="28"/>
        </w:rPr>
        <w:t>Critical Watch List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28"/>
        </w:rPr>
        <w:t>AMC Framework Note</w:t>
      </w:r>
    </w:p>
    <w:p>
      <w:pPr>
        <w:spacing w:line="276" w:lineRule="auto"/>
      </w:pPr>
      <w:r>
        <w:rPr>
          <w:rFonts w:ascii="Calibri" w:hAnsi="Calibri"/>
          <w:sz w:val="22"/>
        </w:rPr>
        <w:t>This report applies the AMC Strategic Career Decision Architecture to map structural risk and decision exposure.</w:t>
      </w:r>
    </w:p>
    <w:p>
      <w:r>
        <w:rPr>
          <w:b/>
        </w:rPr>
        <w:t>Career Mobility Structure</w:t>
      </w:r>
    </w:p>
    <w:p>
      <w:r>
        <w:t>Mobility Type</w:t>
      </w:r>
    </w:p>
    <w:p>
      <w:r>
        <w:t>Category Expansion</w:t>
      </w:r>
    </w:p>
    <w:p>
      <w:r>
        <w:t>Mobility Reading</w:t>
      </w:r>
    </w:p>
    <w:p>
      <w:r>
        <w:t>This decision suggests a structural expansion from the current path into an adjacent domain.</w:t>
      </w:r>
    </w:p>
    <w:p>
      <w:r>
        <w:t>Mobility Implication</w:t>
      </w:r>
    </w:p>
    <w:p>
      <w:r>
        <w:t>Skill transfer remains partially intact, though positioning must be re-established.</w:t>
      </w:r>
    </w:p>
    <w:sectPr w:rsidR="00FC693F" w:rsidRPr="0006063C" w:rsidSect="00034616">
      <w:pgSz w:w="12240" w:h="15840"/>
      <w:pgMar w:top="1440" w:right="1138" w:bottom="1440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