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EDB2" w14:textId="449FC7C5" w:rsidR="00EF68DF" w:rsidRDefault="00CA0F10">
      <w:pPr>
        <w:pStyle w:val="Title"/>
        <w:jc w:val="center"/>
      </w:pPr>
      <w:r>
        <w:t xml:space="preserve">Group </w:t>
      </w:r>
      <w:r w:rsidR="00000000">
        <w:t>Assignment 1</w:t>
      </w:r>
      <w:r w:rsidR="00000000">
        <w:br/>
      </w:r>
      <w:r w:rsidR="00000000">
        <w:rPr>
          <w:b w:val="0"/>
          <w:sz w:val="36"/>
        </w:rPr>
        <w:t>Return Distributions, Tail Risk, and Equity Style Portfolios</w:t>
      </w:r>
    </w:p>
    <w:p w14:paraId="666399E2" w14:textId="34A3F696" w:rsidR="00EF68DF" w:rsidRDefault="00000000">
      <w:pPr>
        <w:jc w:val="center"/>
      </w:pPr>
      <w:r>
        <w:rPr>
          <w:b/>
          <w:sz w:val="22"/>
        </w:rPr>
        <w:t xml:space="preserve">Advanced Capital Markets • </w:t>
      </w:r>
      <w:r w:rsidR="00BE55E9">
        <w:rPr>
          <w:b/>
          <w:sz w:val="22"/>
        </w:rPr>
        <w:t>BUFN741</w:t>
      </w:r>
      <w:r>
        <w:rPr>
          <w:b/>
          <w:sz w:val="22"/>
        </w:rPr>
        <w:t xml:space="preserve"> • Groups of 2–3 students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F68DF" w14:paraId="7E6D005B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1613533D" w14:textId="77777777" w:rsidR="00EF68DF" w:rsidRDefault="00000000">
            <w:pPr>
              <w:spacing w:after="0"/>
            </w:pPr>
            <w:r>
              <w:t>Objective. Reproduce and extend the empirical analysis behind BKM Table 5.5 using real monthly U.S. equity-market data. Your group will compare the S&amp;P 500 with four size/value style portfolios, examine how return distributions change across market regimes, and evaluate the limitations of normal-distribution risk measures.</w:t>
            </w:r>
          </w:p>
        </w:tc>
      </w:tr>
    </w:tbl>
    <w:p w14:paraId="4EC429FD" w14:textId="75D11A89" w:rsidR="00EF68DF" w:rsidRDefault="009C1C32">
      <w:pPr>
        <w:pStyle w:val="Heading1"/>
      </w:pPr>
      <w:r>
        <w:t>1</w:t>
      </w:r>
      <w:r w:rsidR="00000000">
        <w:t>. Test assets and data</w:t>
      </w:r>
    </w:p>
    <w:p w14:paraId="568BB64F" w14:textId="77777777" w:rsidR="00EF68DF" w:rsidRDefault="00000000">
      <w:r>
        <w:rPr>
          <w:b/>
        </w:rPr>
        <w:t xml:space="preserve">Required assets. </w:t>
      </w:r>
      <w:r>
        <w:t>Analyze five monthly return series: (i) S&amp;P 500 Index; (ii) Small/Growth; (iii) Small/Value; (iv) Big/Growth; and (v) Big/Value. The four style portfolios correspond to the extreme cells of the Fama–French 2×3 portfolios formed on Size and Book-to-Market.</w:t>
      </w:r>
    </w:p>
    <w:p w14:paraId="48DDE803" w14:textId="77777777" w:rsidR="00EF68DF" w:rsidRDefault="00000000">
      <w:r>
        <w:rPr>
          <w:b/>
        </w:rPr>
        <w:t xml:space="preserve">Preferred sources. </w:t>
      </w:r>
      <w:r>
        <w:t>Use WRDS where feasible (e.g., CRSP index data and/or the WRDS Fama–French data products). The Kenneth R. French Data Library is an authoritative public cross-check for the 2×3 portfolios and the one-month risk-free rate. A public market source such as Yahoo Finance may be used as a secondary check for the S&amp;P 500, but you must explain precisely what series you use (index level, price return, or total return) and why it is comparable to the other return series.</w:t>
      </w:r>
    </w:p>
    <w:p w14:paraId="0DF23C0E" w14:textId="34543F0A" w:rsidR="00EF68DF" w:rsidRDefault="009C1C32">
      <w:pPr>
        <w:pStyle w:val="Heading1"/>
      </w:pPr>
      <w:r>
        <w:t>2</w:t>
      </w:r>
      <w:r w:rsidR="00000000">
        <w:t>. Sample periods</w:t>
      </w:r>
    </w:p>
    <w:p w14:paraId="20F6993D" w14:textId="77777777" w:rsidR="00EF68DF" w:rsidRDefault="00000000">
      <w:r>
        <w:t>Use monthly observations and report all results separately for the following samples: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F68DF" w14:paraId="3E8D883D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2F617CD2" w14:textId="77777777" w:rsidR="00EF68DF" w:rsidRDefault="00000000">
            <w:r>
              <w:rPr>
                <w:b/>
                <w:color w:val="FFFFFF"/>
                <w:sz w:val="19"/>
              </w:rPr>
              <w:t>Sample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9FE5EF4" w14:textId="77777777" w:rsidR="00EF68DF" w:rsidRDefault="00000000">
            <w:r>
              <w:rPr>
                <w:b/>
                <w:color w:val="FFFFFF"/>
                <w:sz w:val="19"/>
              </w:rPr>
              <w:t>Required date rule</w:t>
            </w:r>
          </w:p>
        </w:tc>
      </w:tr>
      <w:tr w:rsidR="00EF68DF" w14:paraId="1667AFB3" w14:textId="77777777">
        <w:trPr>
          <w:jc w:val="center"/>
        </w:trPr>
        <w:tc>
          <w:tcPr>
            <w:tcW w:w="5040" w:type="dxa"/>
            <w:vAlign w:val="center"/>
          </w:tcPr>
          <w:p w14:paraId="56B05E95" w14:textId="77777777" w:rsidR="00EF68DF" w:rsidRDefault="00000000">
            <w:r>
              <w:rPr>
                <w:b/>
                <w:sz w:val="19"/>
              </w:rPr>
              <w:t>Full history</w:t>
            </w:r>
          </w:p>
        </w:tc>
        <w:tc>
          <w:tcPr>
            <w:tcW w:w="5040" w:type="dxa"/>
            <w:vAlign w:val="center"/>
          </w:tcPr>
          <w:p w14:paraId="47294C7A" w14:textId="77777777" w:rsidR="00EF68DF" w:rsidRDefault="00000000">
            <w:r>
              <w:rPr>
                <w:sz w:val="19"/>
              </w:rPr>
              <w:t>Earliest common month available for all five test assets through the latest complete month available when you download the data.</w:t>
            </w:r>
          </w:p>
        </w:tc>
      </w:tr>
      <w:tr w:rsidR="00EF68DF" w14:paraId="7E068343" w14:textId="77777777">
        <w:trPr>
          <w:jc w:val="center"/>
        </w:trPr>
        <w:tc>
          <w:tcPr>
            <w:tcW w:w="5040" w:type="dxa"/>
            <w:vAlign w:val="center"/>
          </w:tcPr>
          <w:p w14:paraId="22CC3587" w14:textId="77777777" w:rsidR="00EF68DF" w:rsidRDefault="00000000">
            <w:r>
              <w:rPr>
                <w:b/>
                <w:sz w:val="19"/>
              </w:rPr>
              <w:t>1990–2000</w:t>
            </w:r>
          </w:p>
        </w:tc>
        <w:tc>
          <w:tcPr>
            <w:tcW w:w="5040" w:type="dxa"/>
            <w:vAlign w:val="center"/>
          </w:tcPr>
          <w:p w14:paraId="0F2E4B2C" w14:textId="77777777" w:rsidR="00EF68DF" w:rsidRDefault="00000000">
            <w:r>
              <w:rPr>
                <w:sz w:val="19"/>
              </w:rPr>
              <w:t>January 1990 through December 2000.</w:t>
            </w:r>
          </w:p>
        </w:tc>
      </w:tr>
      <w:tr w:rsidR="00EF68DF" w14:paraId="5323CC2E" w14:textId="77777777">
        <w:trPr>
          <w:jc w:val="center"/>
        </w:trPr>
        <w:tc>
          <w:tcPr>
            <w:tcW w:w="5040" w:type="dxa"/>
            <w:vAlign w:val="center"/>
          </w:tcPr>
          <w:p w14:paraId="5AE6AEF4" w14:textId="77777777" w:rsidR="00EF68DF" w:rsidRDefault="00000000">
            <w:r>
              <w:rPr>
                <w:b/>
                <w:sz w:val="19"/>
              </w:rPr>
              <w:t>2001–2010</w:t>
            </w:r>
          </w:p>
        </w:tc>
        <w:tc>
          <w:tcPr>
            <w:tcW w:w="5040" w:type="dxa"/>
            <w:vAlign w:val="center"/>
          </w:tcPr>
          <w:p w14:paraId="5ED2AC2B" w14:textId="77777777" w:rsidR="00EF68DF" w:rsidRDefault="00000000">
            <w:r>
              <w:rPr>
                <w:sz w:val="19"/>
              </w:rPr>
              <w:t>January 2001 through December 2010.</w:t>
            </w:r>
          </w:p>
        </w:tc>
      </w:tr>
      <w:tr w:rsidR="00EF68DF" w14:paraId="27BE0DAE" w14:textId="77777777">
        <w:trPr>
          <w:jc w:val="center"/>
        </w:trPr>
        <w:tc>
          <w:tcPr>
            <w:tcW w:w="5040" w:type="dxa"/>
            <w:vAlign w:val="center"/>
          </w:tcPr>
          <w:p w14:paraId="1F5CE365" w14:textId="77777777" w:rsidR="00EF68DF" w:rsidRDefault="00000000">
            <w:r>
              <w:rPr>
                <w:b/>
                <w:sz w:val="19"/>
              </w:rPr>
              <w:t>2011–present</w:t>
            </w:r>
          </w:p>
        </w:tc>
        <w:tc>
          <w:tcPr>
            <w:tcW w:w="5040" w:type="dxa"/>
            <w:vAlign w:val="center"/>
          </w:tcPr>
          <w:p w14:paraId="498C55A2" w14:textId="77777777" w:rsidR="00EF68DF" w:rsidRDefault="00000000">
            <w:r>
              <w:rPr>
                <w:sz w:val="19"/>
              </w:rPr>
              <w:t>January 2011 through the latest complete month.</w:t>
            </w:r>
          </w:p>
        </w:tc>
      </w:tr>
    </w:tbl>
    <w:p w14:paraId="7554BC5A" w14:textId="5DC62E6D" w:rsidR="00EF68DF" w:rsidRDefault="009C1C32">
      <w:pPr>
        <w:pStyle w:val="Heading1"/>
      </w:pPr>
      <w:r>
        <w:t>3</w:t>
      </w:r>
      <w:r w:rsidR="00000000">
        <w:t>. Construct monthly excess returns</w:t>
      </w:r>
    </w:p>
    <w:p w14:paraId="4ECAAC80" w14:textId="77777777" w:rsidR="00EF68DF" w:rsidRDefault="00000000">
      <w:r>
        <w:rPr>
          <w:b/>
        </w:rPr>
        <w:t xml:space="preserve">Primary analysis variable: </w:t>
      </w:r>
      <w:r>
        <w:t>monthly excess return for each test asset, rᵉₜ = rₜ − rƒₜ, where rƒₜ is the one-month U.S. Treasury bill/risk-free return for month t. Use simple returns, not continuously compounded returns. Keep units consistent throughout (decimal or percent).</w:t>
      </w:r>
    </w:p>
    <w:p w14:paraId="5048823E" w14:textId="3A21AC5F" w:rsidR="00EF68DF" w:rsidRDefault="00000000">
      <w:r>
        <w:rPr>
          <w:b/>
        </w:rPr>
        <w:t xml:space="preserve">Validation </w:t>
      </w:r>
      <w:r w:rsidR="00FA23EB">
        <w:rPr>
          <w:b/>
        </w:rPr>
        <w:t>check</w:t>
      </w:r>
      <w:r>
        <w:rPr>
          <w:b/>
        </w:rPr>
        <w:t xml:space="preserve">. </w:t>
      </w:r>
      <w:r>
        <w:t xml:space="preserve">Before computing statistics, verify date alignment, missing observations, return units, and the treatment of dividends. Report the number of usable months in every sample. </w:t>
      </w:r>
      <w:r w:rsidR="00FA23EB">
        <w:t>If possible, c</w:t>
      </w:r>
      <w:r>
        <w:t>ross-check at least one return series or one summary statistic against an independent source.</w:t>
      </w:r>
    </w:p>
    <w:p w14:paraId="08B952E7" w14:textId="5A4A3A4E" w:rsidR="00EF68DF" w:rsidRDefault="009C1C32">
      <w:pPr>
        <w:pStyle w:val="Heading1"/>
      </w:pPr>
      <w:r>
        <w:lastRenderedPageBreak/>
        <w:t>4</w:t>
      </w:r>
      <w:r w:rsidR="00000000">
        <w:t xml:space="preserve">. </w:t>
      </w:r>
      <w:r w:rsidR="0051252D">
        <w:t xml:space="preserve">Present </w:t>
      </w:r>
      <w:r w:rsidR="00000000">
        <w:t>BKM-style statistics</w:t>
      </w:r>
    </w:p>
    <w:p w14:paraId="48AE1B3E" w14:textId="77777777" w:rsidR="00EF68DF" w:rsidRDefault="00000000">
      <w:r>
        <w:t>For each of the five assets and for each sample period, produce a table modeled on BKM Table 5.5. At minimum report the following statistics: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F68DF" w14:paraId="10A10C2C" w14:textId="77777777">
        <w:trPr>
          <w:jc w:val="center"/>
        </w:trPr>
        <w:tc>
          <w:tcPr>
            <w:tcW w:w="5040" w:type="dxa"/>
            <w:shd w:val="clear" w:color="auto" w:fill="C00000"/>
            <w:vAlign w:val="center"/>
          </w:tcPr>
          <w:p w14:paraId="5A58039F" w14:textId="77777777" w:rsidR="00EF68DF" w:rsidRDefault="00000000"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w="5040" w:type="dxa"/>
            <w:shd w:val="clear" w:color="auto" w:fill="C00000"/>
            <w:vAlign w:val="center"/>
          </w:tcPr>
          <w:p w14:paraId="7D8FCC64" w14:textId="721B8120" w:rsidR="00EF68DF" w:rsidRDefault="0051252D">
            <w:r>
              <w:rPr>
                <w:b/>
                <w:color w:val="FFFFFF"/>
                <w:sz w:val="18"/>
              </w:rPr>
              <w:t>Suggested</w:t>
            </w:r>
            <w:r w:rsidR="00000000">
              <w:rPr>
                <w:b/>
                <w:color w:val="FFFFFF"/>
                <w:sz w:val="18"/>
              </w:rPr>
              <w:t xml:space="preserve"> definition</w:t>
            </w:r>
          </w:p>
        </w:tc>
      </w:tr>
      <w:tr w:rsidR="00EF68DF" w14:paraId="58F21894" w14:textId="77777777">
        <w:trPr>
          <w:jc w:val="center"/>
        </w:trPr>
        <w:tc>
          <w:tcPr>
            <w:tcW w:w="5040" w:type="dxa"/>
            <w:vAlign w:val="center"/>
          </w:tcPr>
          <w:p w14:paraId="0D5CA092" w14:textId="77777777" w:rsidR="00EF68DF" w:rsidRDefault="00000000">
            <w:r>
              <w:rPr>
                <w:b/>
                <w:sz w:val="17"/>
              </w:rPr>
              <w:t>Mean excess return (annualized)</w:t>
            </w:r>
          </w:p>
        </w:tc>
        <w:tc>
          <w:tcPr>
            <w:tcW w:w="5040" w:type="dxa"/>
            <w:vAlign w:val="center"/>
          </w:tcPr>
          <w:p w14:paraId="3588B770" w14:textId="77777777" w:rsidR="00EF68DF" w:rsidRDefault="00000000">
            <w:r>
              <w:rPr>
                <w:sz w:val="17"/>
              </w:rPr>
              <w:t>12 × arithmetic mean of monthly excess returns.</w:t>
            </w:r>
          </w:p>
        </w:tc>
      </w:tr>
      <w:tr w:rsidR="00EF68DF" w14:paraId="0A9199DC" w14:textId="77777777">
        <w:trPr>
          <w:jc w:val="center"/>
        </w:trPr>
        <w:tc>
          <w:tcPr>
            <w:tcW w:w="5040" w:type="dxa"/>
            <w:vAlign w:val="center"/>
          </w:tcPr>
          <w:p w14:paraId="5AA5DE40" w14:textId="77777777" w:rsidR="00EF68DF" w:rsidRDefault="00000000">
            <w:r>
              <w:rPr>
                <w:b/>
                <w:sz w:val="17"/>
              </w:rPr>
              <w:t>Standard deviation (annualized)</w:t>
            </w:r>
          </w:p>
        </w:tc>
        <w:tc>
          <w:tcPr>
            <w:tcW w:w="5040" w:type="dxa"/>
            <w:vAlign w:val="center"/>
          </w:tcPr>
          <w:p w14:paraId="284C1A17" w14:textId="77777777" w:rsidR="00EF68DF" w:rsidRDefault="00000000">
            <w:r>
              <w:rPr>
                <w:sz w:val="17"/>
              </w:rPr>
              <w:t>Monthly sample standard deviation × √12.</w:t>
            </w:r>
          </w:p>
        </w:tc>
      </w:tr>
      <w:tr w:rsidR="00EF68DF" w14:paraId="433F103C" w14:textId="77777777">
        <w:trPr>
          <w:jc w:val="center"/>
        </w:trPr>
        <w:tc>
          <w:tcPr>
            <w:tcW w:w="5040" w:type="dxa"/>
            <w:vAlign w:val="center"/>
          </w:tcPr>
          <w:p w14:paraId="0EC83490" w14:textId="77777777" w:rsidR="00EF68DF" w:rsidRDefault="00000000">
            <w:r>
              <w:rPr>
                <w:b/>
                <w:sz w:val="17"/>
              </w:rPr>
              <w:t>Sharpe ratio</w:t>
            </w:r>
          </w:p>
        </w:tc>
        <w:tc>
          <w:tcPr>
            <w:tcW w:w="5040" w:type="dxa"/>
            <w:vAlign w:val="center"/>
          </w:tcPr>
          <w:p w14:paraId="31952F29" w14:textId="77777777" w:rsidR="00EF68DF" w:rsidRDefault="00000000">
            <w:r>
              <w:rPr>
                <w:sz w:val="17"/>
              </w:rPr>
              <w:t>Annualized mean excess return ÷ annualized standard deviation.</w:t>
            </w:r>
          </w:p>
        </w:tc>
      </w:tr>
      <w:tr w:rsidR="00EF68DF" w14:paraId="18413038" w14:textId="77777777">
        <w:trPr>
          <w:jc w:val="center"/>
        </w:trPr>
        <w:tc>
          <w:tcPr>
            <w:tcW w:w="5040" w:type="dxa"/>
            <w:vAlign w:val="center"/>
          </w:tcPr>
          <w:p w14:paraId="655EAD8E" w14:textId="77777777" w:rsidR="00EF68DF" w:rsidRDefault="00000000">
            <w:r>
              <w:rPr>
                <w:b/>
                <w:sz w:val="17"/>
              </w:rPr>
              <w:t>Lower partial standard deviation (annualized)</w:t>
            </w:r>
          </w:p>
        </w:tc>
        <w:tc>
          <w:tcPr>
            <w:tcW w:w="5040" w:type="dxa"/>
            <w:vAlign w:val="center"/>
          </w:tcPr>
          <w:p w14:paraId="7C34FFAB" w14:textId="3F12A4A2" w:rsidR="00EF68DF" w:rsidRDefault="00000000">
            <w:r>
              <w:rPr>
                <w:sz w:val="17"/>
              </w:rPr>
              <w:t>Downside dispersion relative to the sample mean: √[average of (rᵉₜ − mean)² conditional on rᵉₜ &lt; mean] × √12.</w:t>
            </w:r>
          </w:p>
        </w:tc>
      </w:tr>
      <w:tr w:rsidR="00EF68DF" w14:paraId="64718084" w14:textId="77777777">
        <w:trPr>
          <w:jc w:val="center"/>
        </w:trPr>
        <w:tc>
          <w:tcPr>
            <w:tcW w:w="5040" w:type="dxa"/>
            <w:vAlign w:val="center"/>
          </w:tcPr>
          <w:p w14:paraId="17E399CE" w14:textId="77777777" w:rsidR="00EF68DF" w:rsidRDefault="00000000">
            <w:r>
              <w:rPr>
                <w:b/>
                <w:sz w:val="17"/>
              </w:rPr>
              <w:t>Skewness</w:t>
            </w:r>
          </w:p>
        </w:tc>
        <w:tc>
          <w:tcPr>
            <w:tcW w:w="5040" w:type="dxa"/>
            <w:vAlign w:val="center"/>
          </w:tcPr>
          <w:p w14:paraId="119035ED" w14:textId="4942B4FD" w:rsidR="00EF68DF" w:rsidRDefault="00000000">
            <w:r>
              <w:rPr>
                <w:sz w:val="17"/>
              </w:rPr>
              <w:t>Sample skewness of monthly excess returns.</w:t>
            </w:r>
          </w:p>
        </w:tc>
      </w:tr>
      <w:tr w:rsidR="00EF68DF" w14:paraId="1559A40B" w14:textId="77777777">
        <w:trPr>
          <w:jc w:val="center"/>
        </w:trPr>
        <w:tc>
          <w:tcPr>
            <w:tcW w:w="5040" w:type="dxa"/>
            <w:vAlign w:val="center"/>
          </w:tcPr>
          <w:p w14:paraId="715C235D" w14:textId="77777777" w:rsidR="00EF68DF" w:rsidRDefault="00000000">
            <w:r>
              <w:rPr>
                <w:b/>
                <w:sz w:val="17"/>
              </w:rPr>
              <w:t>Kurtosis</w:t>
            </w:r>
          </w:p>
        </w:tc>
        <w:tc>
          <w:tcPr>
            <w:tcW w:w="5040" w:type="dxa"/>
            <w:vAlign w:val="center"/>
          </w:tcPr>
          <w:p w14:paraId="76C597B3" w14:textId="18C3C069" w:rsidR="00EF68DF" w:rsidRDefault="00000000">
            <w:r>
              <w:rPr>
                <w:sz w:val="17"/>
              </w:rPr>
              <w:t>Report excess kurtosis (normal distribution = 0).</w:t>
            </w:r>
          </w:p>
        </w:tc>
      </w:tr>
      <w:tr w:rsidR="00EF68DF" w14:paraId="5D688911" w14:textId="77777777">
        <w:trPr>
          <w:jc w:val="center"/>
        </w:trPr>
        <w:tc>
          <w:tcPr>
            <w:tcW w:w="5040" w:type="dxa"/>
            <w:vAlign w:val="center"/>
          </w:tcPr>
          <w:p w14:paraId="2AF6F0C5" w14:textId="77777777" w:rsidR="00EF68DF" w:rsidRDefault="00000000">
            <w:r>
              <w:rPr>
                <w:b/>
                <w:sz w:val="17"/>
              </w:rPr>
              <w:t>VaR (1%) — actual monthly returns</w:t>
            </w:r>
          </w:p>
        </w:tc>
        <w:tc>
          <w:tcPr>
            <w:tcW w:w="5040" w:type="dxa"/>
            <w:vAlign w:val="center"/>
          </w:tcPr>
          <w:p w14:paraId="5E7F86F0" w14:textId="77777777" w:rsidR="00EF68DF" w:rsidRDefault="00000000">
            <w:r>
              <w:rPr>
                <w:sz w:val="17"/>
              </w:rPr>
              <w:t>Empirical 1st percentile of monthly excess returns.</w:t>
            </w:r>
          </w:p>
        </w:tc>
      </w:tr>
      <w:tr w:rsidR="00EF68DF" w14:paraId="0D2C29E9" w14:textId="77777777">
        <w:trPr>
          <w:jc w:val="center"/>
        </w:trPr>
        <w:tc>
          <w:tcPr>
            <w:tcW w:w="5040" w:type="dxa"/>
            <w:vAlign w:val="center"/>
          </w:tcPr>
          <w:p w14:paraId="0E5F2FE3" w14:textId="77777777" w:rsidR="00EF68DF" w:rsidRDefault="00000000">
            <w:r>
              <w:rPr>
                <w:b/>
                <w:sz w:val="17"/>
              </w:rPr>
              <w:t>VaR (1%) — normal distribution</w:t>
            </w:r>
          </w:p>
        </w:tc>
        <w:tc>
          <w:tcPr>
            <w:tcW w:w="5040" w:type="dxa"/>
            <w:vAlign w:val="center"/>
          </w:tcPr>
          <w:p w14:paraId="74BCE1B7" w14:textId="77777777" w:rsidR="00EF68DF" w:rsidRDefault="00000000">
            <w:r>
              <w:rPr>
                <w:sz w:val="17"/>
              </w:rPr>
              <w:t>mean monthly excess return + z₀.₀₁ × monthly standard deviation, with z₀.₀₁ ≈ −2.3263.</w:t>
            </w:r>
          </w:p>
        </w:tc>
      </w:tr>
      <w:tr w:rsidR="00EF68DF" w14:paraId="0E498890" w14:textId="77777777">
        <w:trPr>
          <w:jc w:val="center"/>
        </w:trPr>
        <w:tc>
          <w:tcPr>
            <w:tcW w:w="5040" w:type="dxa"/>
            <w:vAlign w:val="center"/>
          </w:tcPr>
          <w:p w14:paraId="72509001" w14:textId="77777777" w:rsidR="00EF68DF" w:rsidRDefault="00000000">
            <w:r>
              <w:rPr>
                <w:b/>
                <w:sz w:val="17"/>
              </w:rPr>
              <w:t>% of monthly returns &gt;3 SD below mean</w:t>
            </w:r>
          </w:p>
        </w:tc>
        <w:tc>
          <w:tcPr>
            <w:tcW w:w="5040" w:type="dxa"/>
            <w:vAlign w:val="center"/>
          </w:tcPr>
          <w:p w14:paraId="17B177B1" w14:textId="77777777" w:rsidR="00EF68DF" w:rsidRDefault="00000000">
            <w:r>
              <w:rPr>
                <w:sz w:val="17"/>
              </w:rPr>
              <w:t>Fraction of months with rᵉₜ &lt; mean − 3×SD, expressed as a percentage.</w:t>
            </w:r>
          </w:p>
        </w:tc>
      </w:tr>
      <w:tr w:rsidR="00EF68DF" w14:paraId="7B8FB104" w14:textId="77777777">
        <w:trPr>
          <w:jc w:val="center"/>
        </w:trPr>
        <w:tc>
          <w:tcPr>
            <w:tcW w:w="5040" w:type="dxa"/>
            <w:vAlign w:val="center"/>
          </w:tcPr>
          <w:p w14:paraId="3608A5D3" w14:textId="77777777" w:rsidR="00EF68DF" w:rsidRDefault="00000000">
            <w:r>
              <w:rPr>
                <w:b/>
                <w:sz w:val="17"/>
              </w:rPr>
              <w:t>Expected shortfall (monthly)</w:t>
            </w:r>
          </w:p>
        </w:tc>
        <w:tc>
          <w:tcPr>
            <w:tcW w:w="5040" w:type="dxa"/>
            <w:vAlign w:val="center"/>
          </w:tcPr>
          <w:p w14:paraId="04CE5B42" w14:textId="28B94BDF" w:rsidR="00EF68DF" w:rsidRDefault="00000000">
            <w:r>
              <w:rPr>
                <w:sz w:val="17"/>
              </w:rPr>
              <w:t>Average monthly excess return among observations at or below the empirical 1% VaR cutoff.</w:t>
            </w:r>
          </w:p>
        </w:tc>
      </w:tr>
    </w:tbl>
    <w:p w14:paraId="18D6349D" w14:textId="1E5EC84C" w:rsidR="00EF68DF" w:rsidRDefault="00E87E94">
      <w:pPr>
        <w:pStyle w:val="Heading1"/>
      </w:pPr>
      <w:r>
        <w:t>5</w:t>
      </w:r>
      <w:r w:rsidR="00000000">
        <w:t xml:space="preserve">. </w:t>
      </w:r>
      <w:r w:rsidR="0051252D">
        <w:t xml:space="preserve">Present </w:t>
      </w:r>
      <w:r w:rsidR="00000000">
        <w:t>figures</w:t>
      </w:r>
    </w:p>
    <w:p w14:paraId="6CAD2853" w14:textId="77777777" w:rsidR="00EF68DF" w:rsidRDefault="00000000">
      <w:pPr>
        <w:pStyle w:val="ListBullet"/>
      </w:pPr>
      <w:r>
        <w:t>Time-series plots of monthly excess returns for all five assets. Use readable axes and identify major extreme-return episodes.</w:t>
      </w:r>
    </w:p>
    <w:p w14:paraId="49F0E852" w14:textId="77777777" w:rsidR="00EF68DF" w:rsidRDefault="00000000">
      <w:pPr>
        <w:pStyle w:val="ListBullet"/>
      </w:pPr>
      <w:r>
        <w:t>For each asset, an empirical distribution plot with a histogram. Overlay or otherwise compare the fitted normal distribution.</w:t>
      </w:r>
    </w:p>
    <w:p w14:paraId="3A0D687B" w14:textId="77777777" w:rsidR="00EF68DF" w:rsidRDefault="00000000">
      <w:pPr>
        <w:pStyle w:val="ListBullet"/>
      </w:pPr>
      <w:r>
        <w:t>Include at least one graphical comparison that makes tail behavior across the five assets easy to see (for example, common-axis histograms/densities, ECDFs, or Q–Q plots).</w:t>
      </w:r>
    </w:p>
    <w:p w14:paraId="2F6E1698" w14:textId="5E6E7E26" w:rsidR="00EF68DF" w:rsidRDefault="00000000">
      <w:pPr>
        <w:pStyle w:val="ListBullet"/>
      </w:pPr>
      <w:r>
        <w:t>Figures should be produced for the full sample. Select additional subperiod figures when they materially improve the economic interpretation.</w:t>
      </w:r>
    </w:p>
    <w:p w14:paraId="2D658BE1" w14:textId="6B7056EE" w:rsidR="00EF68DF" w:rsidRDefault="00E87E94">
      <w:pPr>
        <w:pStyle w:val="Heading1"/>
      </w:pPr>
      <w:r>
        <w:t>6</w:t>
      </w:r>
      <w:r w:rsidR="00000000">
        <w:t>. Analysis questions</w:t>
      </w:r>
    </w:p>
    <w:p w14:paraId="2BB3F53B" w14:textId="77777777" w:rsidR="00EF68DF" w:rsidRDefault="00000000">
      <w:r>
        <w:rPr>
          <w:b/>
        </w:rPr>
        <w:t xml:space="preserve">1. </w:t>
      </w:r>
      <w:r>
        <w:t>How do average excess returns and Sharpe ratios differ across size and value/growth portfolios? Is the ranking stable across subperiods?</w:t>
      </w:r>
    </w:p>
    <w:p w14:paraId="31D39EA5" w14:textId="77777777" w:rsidR="00EF68DF" w:rsidRDefault="00000000">
      <w:r>
        <w:rPr>
          <w:b/>
        </w:rPr>
        <w:t xml:space="preserve">2. </w:t>
      </w:r>
      <w:r>
        <w:t>Which portfolios exhibit the greatest total volatility and downside volatility? Does the answer change across periods?</w:t>
      </w:r>
    </w:p>
    <w:p w14:paraId="1E79DAFD" w14:textId="77777777" w:rsidR="00EF68DF" w:rsidRDefault="00000000">
      <w:r>
        <w:rPr>
          <w:b/>
        </w:rPr>
        <w:t xml:space="preserve">3. </w:t>
      </w:r>
      <w:r>
        <w:t>How strong is the evidence against normality? Compare empirical 1% VaR with normal VaR, the frequency of &gt;3-SD losses, skewness, kurtosis, and the histograms.</w:t>
      </w:r>
    </w:p>
    <w:p w14:paraId="43D2D47B" w14:textId="77777777" w:rsidR="00EF68DF" w:rsidRDefault="00000000">
      <w:r>
        <w:rPr>
          <w:b/>
        </w:rPr>
        <w:t xml:space="preserve">4. </w:t>
      </w:r>
      <w:r>
        <w:t>What do expected shortfall results add beyond VaR? Which portfolios have the most severe left-tail outcomes?</w:t>
      </w:r>
    </w:p>
    <w:p w14:paraId="0A2E51D9" w14:textId="77777777" w:rsidR="00EF68DF" w:rsidRDefault="00000000">
      <w:r>
        <w:rPr>
          <w:b/>
        </w:rPr>
        <w:t xml:space="preserve">5. </w:t>
      </w:r>
      <w:r>
        <w:t>How different are the 1990–2000, 2001–2010, and 2011–present return distributions? Relate differences to major capital-market episodes without turning the report into a narrative market history.</w:t>
      </w:r>
    </w:p>
    <w:p w14:paraId="2E06992C" w14:textId="77777777" w:rsidR="00EF68DF" w:rsidRDefault="00000000">
      <w:r>
        <w:rPr>
          <w:b/>
        </w:rPr>
        <w:t xml:space="preserve">6. </w:t>
      </w:r>
      <w:r>
        <w:t>Does the S&amp;P 500 behave like the Fama–French Big portfolios? Explain why similarities or differences are economically plausible.</w:t>
      </w:r>
    </w:p>
    <w:sectPr w:rsidR="00EF68D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2C9B3" w14:textId="77777777" w:rsidR="00ED24FB" w:rsidRDefault="00ED24FB">
      <w:pPr>
        <w:spacing w:after="0" w:line="240" w:lineRule="auto"/>
      </w:pPr>
      <w:r>
        <w:separator/>
      </w:r>
    </w:p>
  </w:endnote>
  <w:endnote w:type="continuationSeparator" w:id="0">
    <w:p w14:paraId="3272D961" w14:textId="77777777" w:rsidR="00ED24FB" w:rsidRDefault="00ED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6596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B2B818" w14:textId="0640381D" w:rsidR="00E6487C" w:rsidRDefault="00E6487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CCA892" w14:textId="77777777" w:rsidR="00E6487C" w:rsidRDefault="00E64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1938" w14:textId="77777777" w:rsidR="00ED24FB" w:rsidRDefault="00ED24FB">
      <w:pPr>
        <w:spacing w:after="0" w:line="240" w:lineRule="auto"/>
      </w:pPr>
      <w:r>
        <w:separator/>
      </w:r>
    </w:p>
  </w:footnote>
  <w:footnote w:type="continuationSeparator" w:id="0">
    <w:p w14:paraId="1C84EF43" w14:textId="77777777" w:rsidR="00ED24FB" w:rsidRDefault="00ED2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420632">
    <w:abstractNumId w:val="8"/>
  </w:num>
  <w:num w:numId="2" w16cid:durableId="1284189561">
    <w:abstractNumId w:val="6"/>
  </w:num>
  <w:num w:numId="3" w16cid:durableId="685786322">
    <w:abstractNumId w:val="5"/>
  </w:num>
  <w:num w:numId="4" w16cid:durableId="1174026655">
    <w:abstractNumId w:val="4"/>
  </w:num>
  <w:num w:numId="5" w16cid:durableId="1247882233">
    <w:abstractNumId w:val="7"/>
  </w:num>
  <w:num w:numId="6" w16cid:durableId="973488430">
    <w:abstractNumId w:val="3"/>
  </w:num>
  <w:num w:numId="7" w16cid:durableId="2055886456">
    <w:abstractNumId w:val="2"/>
  </w:num>
  <w:num w:numId="8" w16cid:durableId="1919975338">
    <w:abstractNumId w:val="1"/>
  </w:num>
  <w:num w:numId="9" w16cid:durableId="18710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654"/>
    <w:rsid w:val="00326F90"/>
    <w:rsid w:val="0048764C"/>
    <w:rsid w:val="0051252D"/>
    <w:rsid w:val="009C1C32"/>
    <w:rsid w:val="009F7855"/>
    <w:rsid w:val="00AA1D8D"/>
    <w:rsid w:val="00B47730"/>
    <w:rsid w:val="00BE55E9"/>
    <w:rsid w:val="00CA0F10"/>
    <w:rsid w:val="00CB0664"/>
    <w:rsid w:val="00E6487C"/>
    <w:rsid w:val="00E87E94"/>
    <w:rsid w:val="00ED24FB"/>
    <w:rsid w:val="00EF68DF"/>
    <w:rsid w:val="00FA23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D97D9"/>
  <w14:defaultImageDpi w14:val="300"/>
  <w15:docId w15:val="{9E924F54-63F4-4EFB-B9BC-D2269057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Gao</cp:lastModifiedBy>
  <cp:revision>8</cp:revision>
  <dcterms:created xsi:type="dcterms:W3CDTF">2026-08-29T08:06:00Z</dcterms:created>
  <dcterms:modified xsi:type="dcterms:W3CDTF">2026-08-29T08:25:00Z</dcterms:modified>
  <cp:category/>
</cp:coreProperties>
</file>