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BUFN741 Group Assignment 1</w:t>
      </w:r>
    </w:p>
    <w:p>
      <w:pPr>
        <w:jc w:val="center"/>
      </w:pPr>
      <w:r>
        <w:rPr>
          <w:sz w:val="28"/>
        </w:rPr>
        <w:t>Return Distributions, Tail Risk, and Equity Style Portfolios</w:t>
      </w:r>
    </w:p>
    <w:p>
      <w:r>
        <w:br w:type="page"/>
      </w:r>
    </w:p>
    <w:p>
      <w:pPr>
        <w:pStyle w:val="Heading1"/>
      </w:pPr>
      <w:r>
        <w:t>Research Design</w:t>
      </w:r>
    </w:p>
    <w:p>
      <w:r>
        <w:t>The analysis examines monthly simple excess returns for the S&amp;P 500 and four Fama-French 2×3 Size/Book-to-Market portfolios: Small/Growth, Small/Value, Big/Growth, and Big/Value.</w:t>
      </w:r>
    </w:p>
    <w:p>
      <w:r>
        <w:t>The analysis is performed over the full common sample and the subperiods 1990–2000, 2001–2010, and 2011–present.</w:t>
      </w:r>
    </w:p>
    <w:p>
      <w:pPr>
        <w:pStyle w:val="Heading1"/>
      </w:pPr>
      <w:r>
        <w:t>Statistical Results</w:t>
      </w:r>
    </w:p>
    <w:p>
      <w:pPr>
        <w:pStyle w:val="Heading2"/>
      </w:pPr>
      <w:r>
        <w:t>Full_History</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Asset</w:t>
            </w:r>
          </w:p>
        </w:tc>
        <w:tc>
          <w:tcPr>
            <w:tcW w:type="dxa" w:w="720"/>
          </w:tcPr>
          <w:p>
            <w:r>
              <w:t>N</w:t>
            </w:r>
          </w:p>
        </w:tc>
        <w:tc>
          <w:tcPr>
            <w:tcW w:type="dxa" w:w="720"/>
          </w:tcPr>
          <w:p>
            <w:r>
              <w:t>Ann. Mean</w:t>
            </w:r>
          </w:p>
        </w:tc>
        <w:tc>
          <w:tcPr>
            <w:tcW w:type="dxa" w:w="720"/>
          </w:tcPr>
          <w:p>
            <w:r>
              <w:t>Ann. SD</w:t>
            </w:r>
          </w:p>
        </w:tc>
        <w:tc>
          <w:tcPr>
            <w:tcW w:type="dxa" w:w="720"/>
          </w:tcPr>
          <w:p>
            <w:r>
              <w:t>Sharpe</w:t>
            </w:r>
          </w:p>
        </w:tc>
        <w:tc>
          <w:tcPr>
            <w:tcW w:type="dxa" w:w="720"/>
          </w:tcPr>
          <w:p>
            <w:r>
              <w:t>Downside SD</w:t>
            </w:r>
          </w:p>
        </w:tc>
        <w:tc>
          <w:tcPr>
            <w:tcW w:type="dxa" w:w="720"/>
          </w:tcPr>
          <w:p>
            <w:r>
              <w:t>Skew</w:t>
            </w:r>
          </w:p>
        </w:tc>
        <w:tc>
          <w:tcPr>
            <w:tcW w:type="dxa" w:w="720"/>
          </w:tcPr>
          <w:p>
            <w:r>
              <w:t>Excess Kurt.</w:t>
            </w:r>
          </w:p>
        </w:tc>
        <w:tc>
          <w:tcPr>
            <w:tcW w:type="dxa" w:w="720"/>
          </w:tcPr>
          <w:p>
            <w:r>
              <w:t>Emp. 1% VaR</w:t>
            </w:r>
          </w:p>
        </w:tc>
        <w:tc>
          <w:tcPr>
            <w:tcW w:type="dxa" w:w="720"/>
          </w:tcPr>
          <w:p>
            <w:r>
              <w:t>Normal 1% VaR</w:t>
            </w:r>
          </w:p>
        </w:tc>
        <w:tc>
          <w:tcPr>
            <w:tcW w:type="dxa" w:w="720"/>
          </w:tcPr>
          <w:p>
            <w:r>
              <w:t>% &lt; Mean−3SD</w:t>
            </w:r>
          </w:p>
        </w:tc>
        <w:tc>
          <w:tcPr>
            <w:tcW w:type="dxa" w:w="720"/>
          </w:tcPr>
          <w:p>
            <w:r>
              <w:t>1% ES</w:t>
            </w:r>
          </w:p>
        </w:tc>
      </w:tr>
      <w:tr>
        <w:tc>
          <w:tcPr>
            <w:tcW w:type="dxa" w:w="720"/>
          </w:tcPr>
          <w:p>
            <w:r>
              <w:t>SP500</w:t>
            </w:r>
          </w:p>
        </w:tc>
        <w:tc>
          <w:tcPr>
            <w:tcW w:type="dxa" w:w="720"/>
          </w:tcPr>
          <w:p>
            <w:r>
              <w:t>462</w:t>
            </w:r>
          </w:p>
        </w:tc>
        <w:tc>
          <w:tcPr>
            <w:tcW w:type="dxa" w:w="720"/>
          </w:tcPr>
          <w:p>
            <w:r>
              <w:t>9.05%</w:t>
            </w:r>
          </w:p>
        </w:tc>
        <w:tc>
          <w:tcPr>
            <w:tcW w:type="dxa" w:w="720"/>
          </w:tcPr>
          <w:p>
            <w:r>
              <w:t>14.60%</w:t>
            </w:r>
          </w:p>
        </w:tc>
        <w:tc>
          <w:tcPr>
            <w:tcW w:type="dxa" w:w="720"/>
          </w:tcPr>
          <w:p>
            <w:r>
              <w:t>0.619</w:t>
            </w:r>
          </w:p>
        </w:tc>
        <w:tc>
          <w:tcPr>
            <w:tcW w:type="dxa" w:w="720"/>
          </w:tcPr>
          <w:p>
            <w:r>
              <w:t>16.45%</w:t>
            </w:r>
          </w:p>
        </w:tc>
        <w:tc>
          <w:tcPr>
            <w:tcW w:type="dxa" w:w="720"/>
          </w:tcPr>
          <w:p>
            <w:r>
              <w:t>-0.506</w:t>
            </w:r>
          </w:p>
        </w:tc>
        <w:tc>
          <w:tcPr>
            <w:tcW w:type="dxa" w:w="720"/>
          </w:tcPr>
          <w:p>
            <w:r>
              <w:t>1.016</w:t>
            </w:r>
          </w:p>
        </w:tc>
        <w:tc>
          <w:tcPr>
            <w:tcW w:type="dxa" w:w="720"/>
          </w:tcPr>
          <w:p>
            <w:r>
              <w:t>-10.07%</w:t>
            </w:r>
          </w:p>
        </w:tc>
        <w:tc>
          <w:tcPr>
            <w:tcW w:type="dxa" w:w="720"/>
          </w:tcPr>
          <w:p>
            <w:r>
              <w:t>-9.05%</w:t>
            </w:r>
          </w:p>
        </w:tc>
        <w:tc>
          <w:tcPr>
            <w:tcW w:type="dxa" w:w="720"/>
          </w:tcPr>
          <w:p>
            <w:r>
              <w:t>0.65%</w:t>
            </w:r>
          </w:p>
        </w:tc>
        <w:tc>
          <w:tcPr>
            <w:tcW w:type="dxa" w:w="720"/>
          </w:tcPr>
          <w:p>
            <w:r>
              <w:t>-13.18%</w:t>
            </w:r>
          </w:p>
        </w:tc>
      </w:tr>
      <w:tr>
        <w:tc>
          <w:tcPr>
            <w:tcW w:type="dxa" w:w="720"/>
          </w:tcPr>
          <w:p>
            <w:r>
              <w:t>Small_Growth</w:t>
            </w:r>
          </w:p>
        </w:tc>
        <w:tc>
          <w:tcPr>
            <w:tcW w:type="dxa" w:w="720"/>
          </w:tcPr>
          <w:p>
            <w:r>
              <w:t>463</w:t>
            </w:r>
          </w:p>
        </w:tc>
        <w:tc>
          <w:tcPr>
            <w:tcW w:type="dxa" w:w="720"/>
          </w:tcPr>
          <w:p>
            <w:r>
              <w:t>7.84%</w:t>
            </w:r>
          </w:p>
        </w:tc>
        <w:tc>
          <w:tcPr>
            <w:tcW w:type="dxa" w:w="720"/>
          </w:tcPr>
          <w:p>
            <w:r>
              <w:t>22.81%</w:t>
            </w:r>
          </w:p>
        </w:tc>
        <w:tc>
          <w:tcPr>
            <w:tcW w:type="dxa" w:w="720"/>
          </w:tcPr>
          <w:p>
            <w:r>
              <w:t>0.344</w:t>
            </w:r>
          </w:p>
        </w:tc>
        <w:tc>
          <w:tcPr>
            <w:tcW w:type="dxa" w:w="720"/>
          </w:tcPr>
          <w:p>
            <w:r>
              <w:t>24.36%</w:t>
            </w:r>
          </w:p>
        </w:tc>
        <w:tc>
          <w:tcPr>
            <w:tcW w:type="dxa" w:w="720"/>
          </w:tcPr>
          <w:p>
            <w:r>
              <w:t>-0.141</w:t>
            </w:r>
          </w:p>
        </w:tc>
        <w:tc>
          <w:tcPr>
            <w:tcW w:type="dxa" w:w="720"/>
          </w:tcPr>
          <w:p>
            <w:r>
              <w:t>1.326</w:t>
            </w:r>
          </w:p>
        </w:tc>
        <w:tc>
          <w:tcPr>
            <w:tcW w:type="dxa" w:w="720"/>
          </w:tcPr>
          <w:p>
            <w:r>
              <w:t>-16.05%</w:t>
            </w:r>
          </w:p>
        </w:tc>
        <w:tc>
          <w:tcPr>
            <w:tcW w:type="dxa" w:w="720"/>
          </w:tcPr>
          <w:p>
            <w:r>
              <w:t>-14.67%</w:t>
            </w:r>
          </w:p>
        </w:tc>
        <w:tc>
          <w:tcPr>
            <w:tcW w:type="dxa" w:w="720"/>
          </w:tcPr>
          <w:p>
            <w:r>
              <w:t>0.43%</w:t>
            </w:r>
          </w:p>
        </w:tc>
        <w:tc>
          <w:tcPr>
            <w:tcW w:type="dxa" w:w="720"/>
          </w:tcPr>
          <w:p>
            <w:r>
              <w:t>-19.98%</w:t>
            </w:r>
          </w:p>
        </w:tc>
      </w:tr>
      <w:tr>
        <w:tc>
          <w:tcPr>
            <w:tcW w:type="dxa" w:w="720"/>
          </w:tcPr>
          <w:p>
            <w:r>
              <w:t>Small_Value</w:t>
            </w:r>
          </w:p>
        </w:tc>
        <w:tc>
          <w:tcPr>
            <w:tcW w:type="dxa" w:w="720"/>
          </w:tcPr>
          <w:p>
            <w:r>
              <w:t>463</w:t>
            </w:r>
          </w:p>
        </w:tc>
        <w:tc>
          <w:tcPr>
            <w:tcW w:type="dxa" w:w="720"/>
          </w:tcPr>
          <w:p>
            <w:r>
              <w:t>11.52%</w:t>
            </w:r>
          </w:p>
        </w:tc>
        <w:tc>
          <w:tcPr>
            <w:tcW w:type="dxa" w:w="720"/>
          </w:tcPr>
          <w:p>
            <w:r>
              <w:t>19.60%</w:t>
            </w:r>
          </w:p>
        </w:tc>
        <w:tc>
          <w:tcPr>
            <w:tcW w:type="dxa" w:w="720"/>
          </w:tcPr>
          <w:p>
            <w:r>
              <w:t>0.588</w:t>
            </w:r>
          </w:p>
        </w:tc>
        <w:tc>
          <w:tcPr>
            <w:tcW w:type="dxa" w:w="720"/>
          </w:tcPr>
          <w:p>
            <w:r>
              <w:t>21.41%</w:t>
            </w:r>
          </w:p>
        </w:tc>
        <w:tc>
          <w:tcPr>
            <w:tcW w:type="dxa" w:w="720"/>
          </w:tcPr>
          <w:p>
            <w:r>
              <w:t>-0.569</w:t>
            </w:r>
          </w:p>
        </w:tc>
        <w:tc>
          <w:tcPr>
            <w:tcW w:type="dxa" w:w="720"/>
          </w:tcPr>
          <w:p>
            <w:r>
              <w:t>2.227</w:t>
            </w:r>
          </w:p>
        </w:tc>
        <w:tc>
          <w:tcPr>
            <w:tcW w:type="dxa" w:w="720"/>
          </w:tcPr>
          <w:p>
            <w:r>
              <w:t>-14.95%</w:t>
            </w:r>
          </w:p>
        </w:tc>
        <w:tc>
          <w:tcPr>
            <w:tcW w:type="dxa" w:w="720"/>
          </w:tcPr>
          <w:p>
            <w:r>
              <w:t>-12.20%</w:t>
            </w:r>
          </w:p>
        </w:tc>
        <w:tc>
          <w:tcPr>
            <w:tcW w:type="dxa" w:w="720"/>
          </w:tcPr>
          <w:p>
            <w:r>
              <w:t>0.65%</w:t>
            </w:r>
          </w:p>
        </w:tc>
        <w:tc>
          <w:tcPr>
            <w:tcW w:type="dxa" w:w="720"/>
          </w:tcPr>
          <w:p>
            <w:r>
              <w:t>-19.63%</w:t>
            </w:r>
          </w:p>
        </w:tc>
      </w:tr>
      <w:tr>
        <w:tc>
          <w:tcPr>
            <w:tcW w:type="dxa" w:w="720"/>
          </w:tcPr>
          <w:p>
            <w:r>
              <w:t>Big_Growth</w:t>
            </w:r>
          </w:p>
        </w:tc>
        <w:tc>
          <w:tcPr>
            <w:tcW w:type="dxa" w:w="720"/>
          </w:tcPr>
          <w:p>
            <w:r>
              <w:t>463</w:t>
            </w:r>
          </w:p>
        </w:tc>
        <w:tc>
          <w:tcPr>
            <w:tcW w:type="dxa" w:w="720"/>
          </w:tcPr>
          <w:p>
            <w:r>
              <w:t>10.08%</w:t>
            </w:r>
          </w:p>
        </w:tc>
        <w:tc>
          <w:tcPr>
            <w:tcW w:type="dxa" w:w="720"/>
          </w:tcPr>
          <w:p>
            <w:r>
              <w:t>15.25%</w:t>
            </w:r>
          </w:p>
        </w:tc>
        <w:tc>
          <w:tcPr>
            <w:tcW w:type="dxa" w:w="720"/>
          </w:tcPr>
          <w:p>
            <w:r>
              <w:t>0.661</w:t>
            </w:r>
          </w:p>
        </w:tc>
        <w:tc>
          <w:tcPr>
            <w:tcW w:type="dxa" w:w="720"/>
          </w:tcPr>
          <w:p>
            <w:r>
              <w:t>16.41%</w:t>
            </w:r>
          </w:p>
        </w:tc>
        <w:tc>
          <w:tcPr>
            <w:tcW w:type="dxa" w:w="720"/>
          </w:tcPr>
          <w:p>
            <w:r>
              <w:t>-0.343</w:t>
            </w:r>
          </w:p>
        </w:tc>
        <w:tc>
          <w:tcPr>
            <w:tcW w:type="dxa" w:w="720"/>
          </w:tcPr>
          <w:p>
            <w:r>
              <w:t>0.651</w:t>
            </w:r>
          </w:p>
        </w:tc>
        <w:tc>
          <w:tcPr>
            <w:tcW w:type="dxa" w:w="720"/>
          </w:tcPr>
          <w:p>
            <w:r>
              <w:t>-10.69%</w:t>
            </w:r>
          </w:p>
        </w:tc>
        <w:tc>
          <w:tcPr>
            <w:tcW w:type="dxa" w:w="720"/>
          </w:tcPr>
          <w:p>
            <w:r>
              <w:t>-9.40%</w:t>
            </w:r>
          </w:p>
        </w:tc>
        <w:tc>
          <w:tcPr>
            <w:tcW w:type="dxa" w:w="720"/>
          </w:tcPr>
          <w:p>
            <w:r>
              <w:t>0.43%</w:t>
            </w:r>
          </w:p>
        </w:tc>
        <w:tc>
          <w:tcPr>
            <w:tcW w:type="dxa" w:w="720"/>
          </w:tcPr>
          <w:p>
            <w:r>
              <w:t>-12.62%</w:t>
            </w:r>
          </w:p>
        </w:tc>
      </w:tr>
      <w:tr>
        <w:tc>
          <w:tcPr>
            <w:tcW w:type="dxa" w:w="720"/>
          </w:tcPr>
          <w:p>
            <w:r>
              <w:t>Big_Value</w:t>
            </w:r>
          </w:p>
        </w:tc>
        <w:tc>
          <w:tcPr>
            <w:tcW w:type="dxa" w:w="720"/>
          </w:tcPr>
          <w:p>
            <w:r>
              <w:t>463</w:t>
            </w:r>
          </w:p>
        </w:tc>
        <w:tc>
          <w:tcPr>
            <w:tcW w:type="dxa" w:w="720"/>
          </w:tcPr>
          <w:p>
            <w:r>
              <w:t>10.67%</w:t>
            </w:r>
          </w:p>
        </w:tc>
        <w:tc>
          <w:tcPr>
            <w:tcW w:type="dxa" w:w="720"/>
          </w:tcPr>
          <w:p>
            <w:r>
              <w:t>18.22%</w:t>
            </w:r>
          </w:p>
        </w:tc>
        <w:tc>
          <w:tcPr>
            <w:tcW w:type="dxa" w:w="720"/>
          </w:tcPr>
          <w:p>
            <w:r>
              <w:t>0.586</w:t>
            </w:r>
          </w:p>
        </w:tc>
        <w:tc>
          <w:tcPr>
            <w:tcW w:type="dxa" w:w="720"/>
          </w:tcPr>
          <w:p>
            <w:r>
              <w:t>20.34%</w:t>
            </w:r>
          </w:p>
        </w:tc>
        <w:tc>
          <w:tcPr>
            <w:tcW w:type="dxa" w:w="720"/>
          </w:tcPr>
          <w:p>
            <w:r>
              <w:t>-0.705</w:t>
            </w:r>
          </w:p>
        </w:tc>
        <w:tc>
          <w:tcPr>
            <w:tcW w:type="dxa" w:w="720"/>
          </w:tcPr>
          <w:p>
            <w:r>
              <w:t>3.023</w:t>
            </w:r>
          </w:p>
        </w:tc>
        <w:tc>
          <w:tcPr>
            <w:tcW w:type="dxa" w:w="720"/>
          </w:tcPr>
          <w:p>
            <w:r>
              <w:t>-14.53%</w:t>
            </w:r>
          </w:p>
        </w:tc>
        <w:tc>
          <w:tcPr>
            <w:tcW w:type="dxa" w:w="720"/>
          </w:tcPr>
          <w:p>
            <w:r>
              <w:t>-11.35%</w:t>
            </w:r>
          </w:p>
        </w:tc>
        <w:tc>
          <w:tcPr>
            <w:tcW w:type="dxa" w:w="720"/>
          </w:tcPr>
          <w:p>
            <w:r>
              <w:t>1.08%</w:t>
            </w:r>
          </w:p>
        </w:tc>
        <w:tc>
          <w:tcPr>
            <w:tcW w:type="dxa" w:w="720"/>
          </w:tcPr>
          <w:p>
            <w:r>
              <w:t>-20.04%</w:t>
            </w:r>
          </w:p>
        </w:tc>
      </w:tr>
    </w:tbl>
    <w:p/>
    <w:p>
      <w:pPr>
        <w:pStyle w:val="Heading2"/>
      </w:pPr>
      <w:r>
        <w:t>1990_2000</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Asset</w:t>
            </w:r>
          </w:p>
        </w:tc>
        <w:tc>
          <w:tcPr>
            <w:tcW w:type="dxa" w:w="720"/>
          </w:tcPr>
          <w:p>
            <w:r>
              <w:t>N</w:t>
            </w:r>
          </w:p>
        </w:tc>
        <w:tc>
          <w:tcPr>
            <w:tcW w:type="dxa" w:w="720"/>
          </w:tcPr>
          <w:p>
            <w:r>
              <w:t>Ann. Mean</w:t>
            </w:r>
          </w:p>
        </w:tc>
        <w:tc>
          <w:tcPr>
            <w:tcW w:type="dxa" w:w="720"/>
          </w:tcPr>
          <w:p>
            <w:r>
              <w:t>Ann. SD</w:t>
            </w:r>
          </w:p>
        </w:tc>
        <w:tc>
          <w:tcPr>
            <w:tcW w:type="dxa" w:w="720"/>
          </w:tcPr>
          <w:p>
            <w:r>
              <w:t>Sharpe</w:t>
            </w:r>
          </w:p>
        </w:tc>
        <w:tc>
          <w:tcPr>
            <w:tcW w:type="dxa" w:w="720"/>
          </w:tcPr>
          <w:p>
            <w:r>
              <w:t>Downside SD</w:t>
            </w:r>
          </w:p>
        </w:tc>
        <w:tc>
          <w:tcPr>
            <w:tcW w:type="dxa" w:w="720"/>
          </w:tcPr>
          <w:p>
            <w:r>
              <w:t>Skew</w:t>
            </w:r>
          </w:p>
        </w:tc>
        <w:tc>
          <w:tcPr>
            <w:tcW w:type="dxa" w:w="720"/>
          </w:tcPr>
          <w:p>
            <w:r>
              <w:t>Excess Kurt.</w:t>
            </w:r>
          </w:p>
        </w:tc>
        <w:tc>
          <w:tcPr>
            <w:tcW w:type="dxa" w:w="720"/>
          </w:tcPr>
          <w:p>
            <w:r>
              <w:t>Emp. 1% VaR</w:t>
            </w:r>
          </w:p>
        </w:tc>
        <w:tc>
          <w:tcPr>
            <w:tcW w:type="dxa" w:w="720"/>
          </w:tcPr>
          <w:p>
            <w:r>
              <w:t>Normal 1% VaR</w:t>
            </w:r>
          </w:p>
        </w:tc>
        <w:tc>
          <w:tcPr>
            <w:tcW w:type="dxa" w:w="720"/>
          </w:tcPr>
          <w:p>
            <w:r>
              <w:t>% &lt; Mean−3SD</w:t>
            </w:r>
          </w:p>
        </w:tc>
        <w:tc>
          <w:tcPr>
            <w:tcW w:type="dxa" w:w="720"/>
          </w:tcPr>
          <w:p>
            <w:r>
              <w:t>1% ES</w:t>
            </w:r>
          </w:p>
        </w:tc>
      </w:tr>
      <w:tr>
        <w:tc>
          <w:tcPr>
            <w:tcW w:type="dxa" w:w="720"/>
          </w:tcPr>
          <w:p>
            <w:r>
              <w:t>SP500</w:t>
            </w:r>
          </w:p>
        </w:tc>
        <w:tc>
          <w:tcPr>
            <w:tcW w:type="dxa" w:w="720"/>
          </w:tcPr>
          <w:p>
            <w:r>
              <w:t>132</w:t>
            </w:r>
          </w:p>
        </w:tc>
        <w:tc>
          <w:tcPr>
            <w:tcW w:type="dxa" w:w="720"/>
          </w:tcPr>
          <w:p>
            <w:r>
              <w:t>10.49%</w:t>
            </w:r>
          </w:p>
        </w:tc>
        <w:tc>
          <w:tcPr>
            <w:tcW w:type="dxa" w:w="720"/>
          </w:tcPr>
          <w:p>
            <w:r>
              <w:t>13.92%</w:t>
            </w:r>
          </w:p>
        </w:tc>
        <w:tc>
          <w:tcPr>
            <w:tcW w:type="dxa" w:w="720"/>
          </w:tcPr>
          <w:p>
            <w:r>
              <w:t>0.753</w:t>
            </w:r>
          </w:p>
        </w:tc>
        <w:tc>
          <w:tcPr>
            <w:tcW w:type="dxa" w:w="720"/>
          </w:tcPr>
          <w:p>
            <w:r>
              <w:t>15.50%</w:t>
            </w:r>
          </w:p>
        </w:tc>
        <w:tc>
          <w:tcPr>
            <w:tcW w:type="dxa" w:w="720"/>
          </w:tcPr>
          <w:p>
            <w:r>
              <w:t>-0.508</w:t>
            </w:r>
          </w:p>
        </w:tc>
        <w:tc>
          <w:tcPr>
            <w:tcW w:type="dxa" w:w="720"/>
          </w:tcPr>
          <w:p>
            <w:r>
              <w:t>1.207</w:t>
            </w:r>
          </w:p>
        </w:tc>
        <w:tc>
          <w:tcPr>
            <w:tcW w:type="dxa" w:w="720"/>
          </w:tcPr>
          <w:p>
            <w:r>
              <w:t>-9.29%</w:t>
            </w:r>
          </w:p>
        </w:tc>
        <w:tc>
          <w:tcPr>
            <w:tcW w:type="dxa" w:w="720"/>
          </w:tcPr>
          <w:p>
            <w:r>
              <w:t>-8.47%</w:t>
            </w:r>
          </w:p>
        </w:tc>
        <w:tc>
          <w:tcPr>
            <w:tcW w:type="dxa" w:w="720"/>
          </w:tcPr>
          <w:p>
            <w:r>
              <w:t>0.76%</w:t>
            </w:r>
          </w:p>
        </w:tc>
        <w:tc>
          <w:tcPr>
            <w:tcW w:type="dxa" w:w="720"/>
          </w:tcPr>
          <w:p>
            <w:r>
              <w:t>-12.29%</w:t>
            </w:r>
          </w:p>
        </w:tc>
      </w:tr>
      <w:tr>
        <w:tc>
          <w:tcPr>
            <w:tcW w:type="dxa" w:w="720"/>
          </w:tcPr>
          <w:p>
            <w:r>
              <w:t>Small_Growth</w:t>
            </w:r>
          </w:p>
        </w:tc>
        <w:tc>
          <w:tcPr>
            <w:tcW w:type="dxa" w:w="720"/>
          </w:tcPr>
          <w:p>
            <w:r>
              <w:t>132</w:t>
            </w:r>
          </w:p>
        </w:tc>
        <w:tc>
          <w:tcPr>
            <w:tcW w:type="dxa" w:w="720"/>
          </w:tcPr>
          <w:p>
            <w:r>
              <w:t>5.80%</w:t>
            </w:r>
          </w:p>
        </w:tc>
        <w:tc>
          <w:tcPr>
            <w:tcW w:type="dxa" w:w="720"/>
          </w:tcPr>
          <w:p>
            <w:r>
              <w:t>25.07%</w:t>
            </w:r>
          </w:p>
        </w:tc>
        <w:tc>
          <w:tcPr>
            <w:tcW w:type="dxa" w:w="720"/>
          </w:tcPr>
          <w:p>
            <w:r>
              <w:t>0.231</w:t>
            </w:r>
          </w:p>
        </w:tc>
        <w:tc>
          <w:tcPr>
            <w:tcW w:type="dxa" w:w="720"/>
          </w:tcPr>
          <w:p>
            <w:r>
              <w:t>26.06%</w:t>
            </w:r>
          </w:p>
        </w:tc>
        <w:tc>
          <w:tcPr>
            <w:tcW w:type="dxa" w:w="720"/>
          </w:tcPr>
          <w:p>
            <w:r>
              <w:t>-0.011</w:t>
            </w:r>
          </w:p>
        </w:tc>
        <w:tc>
          <w:tcPr>
            <w:tcW w:type="dxa" w:w="720"/>
          </w:tcPr>
          <w:p>
            <w:r>
              <w:t>2.026</w:t>
            </w:r>
          </w:p>
        </w:tc>
        <w:tc>
          <w:tcPr>
            <w:tcW w:type="dxa" w:w="720"/>
          </w:tcPr>
          <w:p>
            <w:r>
              <w:t>-16.54%</w:t>
            </w:r>
          </w:p>
        </w:tc>
        <w:tc>
          <w:tcPr>
            <w:tcW w:type="dxa" w:w="720"/>
          </w:tcPr>
          <w:p>
            <w:r>
              <w:t>-16.35%</w:t>
            </w:r>
          </w:p>
        </w:tc>
        <w:tc>
          <w:tcPr>
            <w:tcW w:type="dxa" w:w="720"/>
          </w:tcPr>
          <w:p>
            <w:r>
              <w:t>0.76%</w:t>
            </w:r>
          </w:p>
        </w:tc>
        <w:tc>
          <w:tcPr>
            <w:tcW w:type="dxa" w:w="720"/>
          </w:tcPr>
          <w:p>
            <w:r>
              <w:t>-20.79%</w:t>
            </w:r>
          </w:p>
        </w:tc>
      </w:tr>
      <w:tr>
        <w:tc>
          <w:tcPr>
            <w:tcW w:type="dxa" w:w="720"/>
          </w:tcPr>
          <w:p>
            <w:r>
              <w:t>Small_Value</w:t>
            </w:r>
          </w:p>
        </w:tc>
        <w:tc>
          <w:tcPr>
            <w:tcW w:type="dxa" w:w="720"/>
          </w:tcPr>
          <w:p>
            <w:r>
              <w:t>132</w:t>
            </w:r>
          </w:p>
        </w:tc>
        <w:tc>
          <w:tcPr>
            <w:tcW w:type="dxa" w:w="720"/>
          </w:tcPr>
          <w:p>
            <w:r>
              <w:t>12.16%</w:t>
            </w:r>
          </w:p>
        </w:tc>
        <w:tc>
          <w:tcPr>
            <w:tcW w:type="dxa" w:w="720"/>
          </w:tcPr>
          <w:p>
            <w:r>
              <w:t>16.03%</w:t>
            </w:r>
          </w:p>
        </w:tc>
        <w:tc>
          <w:tcPr>
            <w:tcW w:type="dxa" w:w="720"/>
          </w:tcPr>
          <w:p>
            <w:r>
              <w:t>0.759</w:t>
            </w:r>
          </w:p>
        </w:tc>
        <w:tc>
          <w:tcPr>
            <w:tcW w:type="dxa" w:w="720"/>
          </w:tcPr>
          <w:p>
            <w:r>
              <w:t>18.93%</w:t>
            </w:r>
          </w:p>
        </w:tc>
        <w:tc>
          <w:tcPr>
            <w:tcW w:type="dxa" w:w="720"/>
          </w:tcPr>
          <w:p>
            <w:r>
              <w:t>-0.749</w:t>
            </w:r>
          </w:p>
        </w:tc>
        <w:tc>
          <w:tcPr>
            <w:tcW w:type="dxa" w:w="720"/>
          </w:tcPr>
          <w:p>
            <w:r>
              <w:t>2.203</w:t>
            </w:r>
          </w:p>
        </w:tc>
        <w:tc>
          <w:tcPr>
            <w:tcW w:type="dxa" w:w="720"/>
          </w:tcPr>
          <w:p>
            <w:r>
              <w:t>-11.01%</w:t>
            </w:r>
          </w:p>
        </w:tc>
        <w:tc>
          <w:tcPr>
            <w:tcW w:type="dxa" w:w="720"/>
          </w:tcPr>
          <w:p>
            <w:r>
              <w:t>-9.75%</w:t>
            </w:r>
          </w:p>
        </w:tc>
        <w:tc>
          <w:tcPr>
            <w:tcW w:type="dxa" w:w="720"/>
          </w:tcPr>
          <w:p>
            <w:r>
              <w:t>0.76%</w:t>
            </w:r>
          </w:p>
        </w:tc>
        <w:tc>
          <w:tcPr>
            <w:tcW w:type="dxa" w:w="720"/>
          </w:tcPr>
          <w:p>
            <w:r>
              <w:t>-15.44%</w:t>
            </w:r>
          </w:p>
        </w:tc>
      </w:tr>
      <w:tr>
        <w:tc>
          <w:tcPr>
            <w:tcW w:type="dxa" w:w="720"/>
          </w:tcPr>
          <w:p>
            <w:r>
              <w:t>Big_Growth</w:t>
            </w:r>
          </w:p>
        </w:tc>
        <w:tc>
          <w:tcPr>
            <w:tcW w:type="dxa" w:w="720"/>
          </w:tcPr>
          <w:p>
            <w:r>
              <w:t>132</w:t>
            </w:r>
          </w:p>
        </w:tc>
        <w:tc>
          <w:tcPr>
            <w:tcW w:type="dxa" w:w="720"/>
          </w:tcPr>
          <w:p>
            <w:r>
              <w:t>11.49%</w:t>
            </w:r>
          </w:p>
        </w:tc>
        <w:tc>
          <w:tcPr>
            <w:tcW w:type="dxa" w:w="720"/>
          </w:tcPr>
          <w:p>
            <w:r>
              <w:t>15.44%</w:t>
            </w:r>
          </w:p>
        </w:tc>
        <w:tc>
          <w:tcPr>
            <w:tcW w:type="dxa" w:w="720"/>
          </w:tcPr>
          <w:p>
            <w:r>
              <w:t>0.744</w:t>
            </w:r>
          </w:p>
        </w:tc>
        <w:tc>
          <w:tcPr>
            <w:tcW w:type="dxa" w:w="720"/>
          </w:tcPr>
          <w:p>
            <w:r>
              <w:t>16.25%</w:t>
            </w:r>
          </w:p>
        </w:tc>
        <w:tc>
          <w:tcPr>
            <w:tcW w:type="dxa" w:w="720"/>
          </w:tcPr>
          <w:p>
            <w:r>
              <w:t>-0.334</w:t>
            </w:r>
          </w:p>
        </w:tc>
        <w:tc>
          <w:tcPr>
            <w:tcW w:type="dxa" w:w="720"/>
          </w:tcPr>
          <w:p>
            <w:r>
              <w:t>0.696</w:t>
            </w:r>
          </w:p>
        </w:tc>
        <w:tc>
          <w:tcPr>
            <w:tcW w:type="dxa" w:w="720"/>
          </w:tcPr>
          <w:p>
            <w:r>
              <w:t>-10.86%</w:t>
            </w:r>
          </w:p>
        </w:tc>
        <w:tc>
          <w:tcPr>
            <w:tcW w:type="dxa" w:w="720"/>
          </w:tcPr>
          <w:p>
            <w:r>
              <w:t>-9.41%</w:t>
            </w:r>
          </w:p>
        </w:tc>
        <w:tc>
          <w:tcPr>
            <w:tcW w:type="dxa" w:w="720"/>
          </w:tcPr>
          <w:p>
            <w:r>
              <w:t>0.76%</w:t>
            </w:r>
          </w:p>
        </w:tc>
        <w:tc>
          <w:tcPr>
            <w:tcW w:type="dxa" w:w="720"/>
          </w:tcPr>
          <w:p>
            <w:r>
              <w:t>-12.59%</w:t>
            </w:r>
          </w:p>
        </w:tc>
      </w:tr>
      <w:tr>
        <w:tc>
          <w:tcPr>
            <w:tcW w:type="dxa" w:w="720"/>
          </w:tcPr>
          <w:p>
            <w:r>
              <w:t>Big_Value</w:t>
            </w:r>
          </w:p>
        </w:tc>
        <w:tc>
          <w:tcPr>
            <w:tcW w:type="dxa" w:w="720"/>
          </w:tcPr>
          <w:p>
            <w:r>
              <w:t>132</w:t>
            </w:r>
          </w:p>
        </w:tc>
        <w:tc>
          <w:tcPr>
            <w:tcW w:type="dxa" w:w="720"/>
          </w:tcPr>
          <w:p>
            <w:r>
              <w:t>12.51%</w:t>
            </w:r>
          </w:p>
        </w:tc>
        <w:tc>
          <w:tcPr>
            <w:tcW w:type="dxa" w:w="720"/>
          </w:tcPr>
          <w:p>
            <w:r>
              <w:t>14.01%</w:t>
            </w:r>
          </w:p>
        </w:tc>
        <w:tc>
          <w:tcPr>
            <w:tcW w:type="dxa" w:w="720"/>
          </w:tcPr>
          <w:p>
            <w:r>
              <w:t>0.893</w:t>
            </w:r>
          </w:p>
        </w:tc>
        <w:tc>
          <w:tcPr>
            <w:tcW w:type="dxa" w:w="720"/>
          </w:tcPr>
          <w:p>
            <w:r>
              <w:t>15.56%</w:t>
            </w:r>
          </w:p>
        </w:tc>
        <w:tc>
          <w:tcPr>
            <w:tcW w:type="dxa" w:w="720"/>
          </w:tcPr>
          <w:p>
            <w:r>
              <w:t>-0.443</w:t>
            </w:r>
          </w:p>
        </w:tc>
        <w:tc>
          <w:tcPr>
            <w:tcW w:type="dxa" w:w="720"/>
          </w:tcPr>
          <w:p>
            <w:r>
              <w:t>0.634</w:t>
            </w:r>
          </w:p>
        </w:tc>
        <w:tc>
          <w:tcPr>
            <w:tcW w:type="dxa" w:w="720"/>
          </w:tcPr>
          <w:p>
            <w:r>
              <w:t>-9.77%</w:t>
            </w:r>
          </w:p>
        </w:tc>
        <w:tc>
          <w:tcPr>
            <w:tcW w:type="dxa" w:w="720"/>
          </w:tcPr>
          <w:p>
            <w:r>
              <w:t>-8.36%</w:t>
            </w:r>
          </w:p>
        </w:tc>
        <w:tc>
          <w:tcPr>
            <w:tcW w:type="dxa" w:w="720"/>
          </w:tcPr>
          <w:p>
            <w:r>
              <w:t>0.76%</w:t>
            </w:r>
          </w:p>
        </w:tc>
        <w:tc>
          <w:tcPr>
            <w:tcW w:type="dxa" w:w="720"/>
          </w:tcPr>
          <w:p>
            <w:r>
              <w:t>-11.56%</w:t>
            </w:r>
          </w:p>
        </w:tc>
      </w:tr>
    </w:tbl>
    <w:p/>
    <w:p>
      <w:pPr>
        <w:pStyle w:val="Heading2"/>
      </w:pPr>
      <w:r>
        <w:t>2001_2010</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Asset</w:t>
            </w:r>
          </w:p>
        </w:tc>
        <w:tc>
          <w:tcPr>
            <w:tcW w:type="dxa" w:w="720"/>
          </w:tcPr>
          <w:p>
            <w:r>
              <w:t>N</w:t>
            </w:r>
          </w:p>
        </w:tc>
        <w:tc>
          <w:tcPr>
            <w:tcW w:type="dxa" w:w="720"/>
          </w:tcPr>
          <w:p>
            <w:r>
              <w:t>Ann. Mean</w:t>
            </w:r>
          </w:p>
        </w:tc>
        <w:tc>
          <w:tcPr>
            <w:tcW w:type="dxa" w:w="720"/>
          </w:tcPr>
          <w:p>
            <w:r>
              <w:t>Ann. SD</w:t>
            </w:r>
          </w:p>
        </w:tc>
        <w:tc>
          <w:tcPr>
            <w:tcW w:type="dxa" w:w="720"/>
          </w:tcPr>
          <w:p>
            <w:r>
              <w:t>Sharpe</w:t>
            </w:r>
          </w:p>
        </w:tc>
        <w:tc>
          <w:tcPr>
            <w:tcW w:type="dxa" w:w="720"/>
          </w:tcPr>
          <w:p>
            <w:r>
              <w:t>Downside SD</w:t>
            </w:r>
          </w:p>
        </w:tc>
        <w:tc>
          <w:tcPr>
            <w:tcW w:type="dxa" w:w="720"/>
          </w:tcPr>
          <w:p>
            <w:r>
              <w:t>Skew</w:t>
            </w:r>
          </w:p>
        </w:tc>
        <w:tc>
          <w:tcPr>
            <w:tcW w:type="dxa" w:w="720"/>
          </w:tcPr>
          <w:p>
            <w:r>
              <w:t>Excess Kurt.</w:t>
            </w:r>
          </w:p>
        </w:tc>
        <w:tc>
          <w:tcPr>
            <w:tcW w:type="dxa" w:w="720"/>
          </w:tcPr>
          <w:p>
            <w:r>
              <w:t>Emp. 1% VaR</w:t>
            </w:r>
          </w:p>
        </w:tc>
        <w:tc>
          <w:tcPr>
            <w:tcW w:type="dxa" w:w="720"/>
          </w:tcPr>
          <w:p>
            <w:r>
              <w:t>Normal 1% VaR</w:t>
            </w:r>
          </w:p>
        </w:tc>
        <w:tc>
          <w:tcPr>
            <w:tcW w:type="dxa" w:w="720"/>
          </w:tcPr>
          <w:p>
            <w:r>
              <w:t>% &lt; Mean−3SD</w:t>
            </w:r>
          </w:p>
        </w:tc>
        <w:tc>
          <w:tcPr>
            <w:tcW w:type="dxa" w:w="720"/>
          </w:tcPr>
          <w:p>
            <w:r>
              <w:t>1% ES</w:t>
            </w:r>
          </w:p>
        </w:tc>
      </w:tr>
      <w:tr>
        <w:tc>
          <w:tcPr>
            <w:tcW w:type="dxa" w:w="720"/>
          </w:tcPr>
          <w:p>
            <w:r>
              <w:t>SP500</w:t>
            </w:r>
          </w:p>
        </w:tc>
        <w:tc>
          <w:tcPr>
            <w:tcW w:type="dxa" w:w="720"/>
          </w:tcPr>
          <w:p>
            <w:r>
              <w:t>120</w:t>
            </w:r>
          </w:p>
        </w:tc>
        <w:tc>
          <w:tcPr>
            <w:tcW w:type="dxa" w:w="720"/>
          </w:tcPr>
          <w:p>
            <w:r>
              <w:t>0.61%</w:t>
            </w:r>
          </w:p>
        </w:tc>
        <w:tc>
          <w:tcPr>
            <w:tcW w:type="dxa" w:w="720"/>
          </w:tcPr>
          <w:p>
            <w:r>
              <w:t>16.41%</w:t>
            </w:r>
          </w:p>
        </w:tc>
        <w:tc>
          <w:tcPr>
            <w:tcW w:type="dxa" w:w="720"/>
          </w:tcPr>
          <w:p>
            <w:r>
              <w:t>0.037</w:t>
            </w:r>
          </w:p>
        </w:tc>
        <w:tc>
          <w:tcPr>
            <w:tcW w:type="dxa" w:w="720"/>
          </w:tcPr>
          <w:p>
            <w:r>
              <w:t>19.15%</w:t>
            </w:r>
          </w:p>
        </w:tc>
        <w:tc>
          <w:tcPr>
            <w:tcW w:type="dxa" w:w="720"/>
          </w:tcPr>
          <w:p>
            <w:r>
              <w:t>-0.603</w:t>
            </w:r>
          </w:p>
        </w:tc>
        <w:tc>
          <w:tcPr>
            <w:tcW w:type="dxa" w:w="720"/>
          </w:tcPr>
          <w:p>
            <w:r>
              <w:t>0.768</w:t>
            </w:r>
          </w:p>
        </w:tc>
        <w:tc>
          <w:tcPr>
            <w:tcW w:type="dxa" w:w="720"/>
          </w:tcPr>
          <w:p>
            <w:r>
              <w:t>-10.94%</w:t>
            </w:r>
          </w:p>
        </w:tc>
        <w:tc>
          <w:tcPr>
            <w:tcW w:type="dxa" w:w="720"/>
          </w:tcPr>
          <w:p>
            <w:r>
              <w:t>-10.97%</w:t>
            </w:r>
          </w:p>
        </w:tc>
        <w:tc>
          <w:tcPr>
            <w:tcW w:type="dxa" w:w="720"/>
          </w:tcPr>
          <w:p>
            <w:r>
              <w:t>0.83%</w:t>
            </w:r>
          </w:p>
        </w:tc>
        <w:tc>
          <w:tcPr>
            <w:tcW w:type="dxa" w:w="720"/>
          </w:tcPr>
          <w:p>
            <w:r>
              <w:t>-13.94%</w:t>
            </w:r>
          </w:p>
        </w:tc>
      </w:tr>
      <w:tr>
        <w:tc>
          <w:tcPr>
            <w:tcW w:type="dxa" w:w="720"/>
          </w:tcPr>
          <w:p>
            <w:r>
              <w:t>Small_Growth</w:t>
            </w:r>
          </w:p>
        </w:tc>
        <w:tc>
          <w:tcPr>
            <w:tcW w:type="dxa" w:w="720"/>
          </w:tcPr>
          <w:p>
            <w:r>
              <w:t>120</w:t>
            </w:r>
          </w:p>
        </w:tc>
        <w:tc>
          <w:tcPr>
            <w:tcW w:type="dxa" w:w="720"/>
          </w:tcPr>
          <w:p>
            <w:r>
              <w:t>4.39%</w:t>
            </w:r>
          </w:p>
        </w:tc>
        <w:tc>
          <w:tcPr>
            <w:tcW w:type="dxa" w:w="720"/>
          </w:tcPr>
          <w:p>
            <w:r>
              <w:t>24.03%</w:t>
            </w:r>
          </w:p>
        </w:tc>
        <w:tc>
          <w:tcPr>
            <w:tcW w:type="dxa" w:w="720"/>
          </w:tcPr>
          <w:p>
            <w:r>
              <w:t>0.183</w:t>
            </w:r>
          </w:p>
        </w:tc>
        <w:tc>
          <w:tcPr>
            <w:tcW w:type="dxa" w:w="720"/>
          </w:tcPr>
          <w:p>
            <w:r>
              <w:t>27.00%</w:t>
            </w:r>
          </w:p>
        </w:tc>
        <w:tc>
          <w:tcPr>
            <w:tcW w:type="dxa" w:w="720"/>
          </w:tcPr>
          <w:p>
            <w:r>
              <w:t>-0.415</w:t>
            </w:r>
          </w:p>
        </w:tc>
        <w:tc>
          <w:tcPr>
            <w:tcW w:type="dxa" w:w="720"/>
          </w:tcPr>
          <w:p>
            <w:r>
              <w:t>0.181</w:t>
            </w:r>
          </w:p>
        </w:tc>
        <w:tc>
          <w:tcPr>
            <w:tcW w:type="dxa" w:w="720"/>
          </w:tcPr>
          <w:p>
            <w:r>
              <w:t>-17.03%</w:t>
            </w:r>
          </w:p>
        </w:tc>
        <w:tc>
          <w:tcPr>
            <w:tcW w:type="dxa" w:w="720"/>
          </w:tcPr>
          <w:p>
            <w:r>
              <w:t>-15.77%</w:t>
            </w:r>
          </w:p>
        </w:tc>
        <w:tc>
          <w:tcPr>
            <w:tcW w:type="dxa" w:w="720"/>
          </w:tcPr>
          <w:p>
            <w:r>
              <w:t>0.83%</w:t>
            </w:r>
          </w:p>
        </w:tc>
        <w:tc>
          <w:tcPr>
            <w:tcW w:type="dxa" w:w="720"/>
          </w:tcPr>
          <w:p>
            <w:r>
              <w:t>-19.86%</w:t>
            </w:r>
          </w:p>
        </w:tc>
      </w:tr>
      <w:tr>
        <w:tc>
          <w:tcPr>
            <w:tcW w:type="dxa" w:w="720"/>
          </w:tcPr>
          <w:p>
            <w:r>
              <w:t>Small_Value</w:t>
            </w:r>
          </w:p>
        </w:tc>
        <w:tc>
          <w:tcPr>
            <w:tcW w:type="dxa" w:w="720"/>
          </w:tcPr>
          <w:p>
            <w:r>
              <w:t>120</w:t>
            </w:r>
          </w:p>
        </w:tc>
        <w:tc>
          <w:tcPr>
            <w:tcW w:type="dxa" w:w="720"/>
          </w:tcPr>
          <w:p>
            <w:r>
              <w:t>10.58%</w:t>
            </w:r>
          </w:p>
        </w:tc>
        <w:tc>
          <w:tcPr>
            <w:tcW w:type="dxa" w:w="720"/>
          </w:tcPr>
          <w:p>
            <w:r>
              <w:t>22.71%</w:t>
            </w:r>
          </w:p>
        </w:tc>
        <w:tc>
          <w:tcPr>
            <w:tcW w:type="dxa" w:w="720"/>
          </w:tcPr>
          <w:p>
            <w:r>
              <w:t>0.466</w:t>
            </w:r>
          </w:p>
        </w:tc>
        <w:tc>
          <w:tcPr>
            <w:tcW w:type="dxa" w:w="720"/>
          </w:tcPr>
          <w:p>
            <w:r>
              <w:t>24.60%</w:t>
            </w:r>
          </w:p>
        </w:tc>
        <w:tc>
          <w:tcPr>
            <w:tcW w:type="dxa" w:w="720"/>
          </w:tcPr>
          <w:p>
            <w:r>
              <w:t>-0.615</w:t>
            </w:r>
          </w:p>
        </w:tc>
        <w:tc>
          <w:tcPr>
            <w:tcW w:type="dxa" w:w="720"/>
          </w:tcPr>
          <w:p>
            <w:r>
              <w:t>0.867</w:t>
            </w:r>
          </w:p>
        </w:tc>
        <w:tc>
          <w:tcPr>
            <w:tcW w:type="dxa" w:w="720"/>
          </w:tcPr>
          <w:p>
            <w:r>
              <w:t>-15.73%</w:t>
            </w:r>
          </w:p>
        </w:tc>
        <w:tc>
          <w:tcPr>
            <w:tcW w:type="dxa" w:w="720"/>
          </w:tcPr>
          <w:p>
            <w:r>
              <w:t>-14.37%</w:t>
            </w:r>
          </w:p>
        </w:tc>
        <w:tc>
          <w:tcPr>
            <w:tcW w:type="dxa" w:w="720"/>
          </w:tcPr>
          <w:p>
            <w:r>
              <w:t>0.83%</w:t>
            </w:r>
          </w:p>
        </w:tc>
        <w:tc>
          <w:tcPr>
            <w:tcW w:type="dxa" w:w="720"/>
          </w:tcPr>
          <w:p>
            <w:r>
              <w:t>-18.01%</w:t>
            </w:r>
          </w:p>
        </w:tc>
      </w:tr>
      <w:tr>
        <w:tc>
          <w:tcPr>
            <w:tcW w:type="dxa" w:w="720"/>
          </w:tcPr>
          <w:p>
            <w:r>
              <w:t>Big_Growth</w:t>
            </w:r>
          </w:p>
        </w:tc>
        <w:tc>
          <w:tcPr>
            <w:tcW w:type="dxa" w:w="720"/>
          </w:tcPr>
          <w:p>
            <w:r>
              <w:t>120</w:t>
            </w:r>
          </w:p>
        </w:tc>
        <w:tc>
          <w:tcPr>
            <w:tcW w:type="dxa" w:w="720"/>
          </w:tcPr>
          <w:p>
            <w:r>
              <w:t>0.76%</w:t>
            </w:r>
          </w:p>
        </w:tc>
        <w:tc>
          <w:tcPr>
            <w:tcW w:type="dxa" w:w="720"/>
          </w:tcPr>
          <w:p>
            <w:r>
              <w:t>16.03%</w:t>
            </w:r>
          </w:p>
        </w:tc>
        <w:tc>
          <w:tcPr>
            <w:tcW w:type="dxa" w:w="720"/>
          </w:tcPr>
          <w:p>
            <w:r>
              <w:t>0.047</w:t>
            </w:r>
          </w:p>
        </w:tc>
        <w:tc>
          <w:tcPr>
            <w:tcW w:type="dxa" w:w="720"/>
          </w:tcPr>
          <w:p>
            <w:r>
              <w:t>17.76%</w:t>
            </w:r>
          </w:p>
        </w:tc>
        <w:tc>
          <w:tcPr>
            <w:tcW w:type="dxa" w:w="720"/>
          </w:tcPr>
          <w:p>
            <w:r>
              <w:t>-0.559</w:t>
            </w:r>
          </w:p>
        </w:tc>
        <w:tc>
          <w:tcPr>
            <w:tcW w:type="dxa" w:w="720"/>
          </w:tcPr>
          <w:p>
            <w:r>
              <w:t>0.677</w:t>
            </w:r>
          </w:p>
        </w:tc>
        <w:tc>
          <w:tcPr>
            <w:tcW w:type="dxa" w:w="720"/>
          </w:tcPr>
          <w:p>
            <w:r>
              <w:t>-11.36%</w:t>
            </w:r>
          </w:p>
        </w:tc>
        <w:tc>
          <w:tcPr>
            <w:tcW w:type="dxa" w:w="720"/>
          </w:tcPr>
          <w:p>
            <w:r>
              <w:t>-10.70%</w:t>
            </w:r>
          </w:p>
        </w:tc>
        <w:tc>
          <w:tcPr>
            <w:tcW w:type="dxa" w:w="720"/>
          </w:tcPr>
          <w:p>
            <w:r>
              <w:t>0.83%</w:t>
            </w:r>
          </w:p>
        </w:tc>
        <w:tc>
          <w:tcPr>
            <w:tcW w:type="dxa" w:w="720"/>
          </w:tcPr>
          <w:p>
            <w:r>
              <w:t>-13.55%</w:t>
            </w:r>
          </w:p>
        </w:tc>
      </w:tr>
      <w:tr>
        <w:tc>
          <w:tcPr>
            <w:tcW w:type="dxa" w:w="720"/>
          </w:tcPr>
          <w:p>
            <w:r>
              <w:t>Big_Value</w:t>
            </w:r>
          </w:p>
        </w:tc>
        <w:tc>
          <w:tcPr>
            <w:tcW w:type="dxa" w:w="720"/>
          </w:tcPr>
          <w:p>
            <w:r>
              <w:t>120</w:t>
            </w:r>
          </w:p>
        </w:tc>
        <w:tc>
          <w:tcPr>
            <w:tcW w:type="dxa" w:w="720"/>
          </w:tcPr>
          <w:p>
            <w:r>
              <w:t>1.76%</w:t>
            </w:r>
          </w:p>
        </w:tc>
        <w:tc>
          <w:tcPr>
            <w:tcW w:type="dxa" w:w="720"/>
          </w:tcPr>
          <w:p>
            <w:r>
              <w:t>21.54%</w:t>
            </w:r>
          </w:p>
        </w:tc>
        <w:tc>
          <w:tcPr>
            <w:tcW w:type="dxa" w:w="720"/>
          </w:tcPr>
          <w:p>
            <w:r>
              <w:t>0.082</w:t>
            </w:r>
          </w:p>
        </w:tc>
        <w:tc>
          <w:tcPr>
            <w:tcW w:type="dxa" w:w="720"/>
          </w:tcPr>
          <w:p>
            <w:r>
              <w:t>24.77%</w:t>
            </w:r>
          </w:p>
        </w:tc>
        <w:tc>
          <w:tcPr>
            <w:tcW w:type="dxa" w:w="720"/>
          </w:tcPr>
          <w:p>
            <w:r>
              <w:t>-0.700</w:t>
            </w:r>
          </w:p>
        </w:tc>
        <w:tc>
          <w:tcPr>
            <w:tcW w:type="dxa" w:w="720"/>
          </w:tcPr>
          <w:p>
            <w:r>
              <w:t>1.707</w:t>
            </w:r>
          </w:p>
        </w:tc>
        <w:tc>
          <w:tcPr>
            <w:tcW w:type="dxa" w:w="720"/>
          </w:tcPr>
          <w:p>
            <w:r>
              <w:t>-18.57%</w:t>
            </w:r>
          </w:p>
        </w:tc>
        <w:tc>
          <w:tcPr>
            <w:tcW w:type="dxa" w:w="720"/>
          </w:tcPr>
          <w:p>
            <w:r>
              <w:t>-14.32%</w:t>
            </w:r>
          </w:p>
        </w:tc>
        <w:tc>
          <w:tcPr>
            <w:tcW w:type="dxa" w:w="720"/>
          </w:tcPr>
          <w:p>
            <w:r>
              <w:t>1.67%</w:t>
            </w:r>
          </w:p>
        </w:tc>
        <w:tc>
          <w:tcPr>
            <w:tcW w:type="dxa" w:w="720"/>
          </w:tcPr>
          <w:p>
            <w:r>
              <w:t>-20.29%</w:t>
            </w:r>
          </w:p>
        </w:tc>
      </w:tr>
    </w:tbl>
    <w:p/>
    <w:p>
      <w:pPr>
        <w:pStyle w:val="Heading2"/>
      </w:pPr>
      <w:r>
        <w:t>2011_Present</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Asset</w:t>
            </w:r>
          </w:p>
        </w:tc>
        <w:tc>
          <w:tcPr>
            <w:tcW w:type="dxa" w:w="720"/>
          </w:tcPr>
          <w:p>
            <w:r>
              <w:t>N</w:t>
            </w:r>
          </w:p>
        </w:tc>
        <w:tc>
          <w:tcPr>
            <w:tcW w:type="dxa" w:w="720"/>
          </w:tcPr>
          <w:p>
            <w:r>
              <w:t>Ann. Mean</w:t>
            </w:r>
          </w:p>
        </w:tc>
        <w:tc>
          <w:tcPr>
            <w:tcW w:type="dxa" w:w="720"/>
          </w:tcPr>
          <w:p>
            <w:r>
              <w:t>Ann. SD</w:t>
            </w:r>
          </w:p>
        </w:tc>
        <w:tc>
          <w:tcPr>
            <w:tcW w:type="dxa" w:w="720"/>
          </w:tcPr>
          <w:p>
            <w:r>
              <w:t>Sharpe</w:t>
            </w:r>
          </w:p>
        </w:tc>
        <w:tc>
          <w:tcPr>
            <w:tcW w:type="dxa" w:w="720"/>
          </w:tcPr>
          <w:p>
            <w:r>
              <w:t>Downside SD</w:t>
            </w:r>
          </w:p>
        </w:tc>
        <w:tc>
          <w:tcPr>
            <w:tcW w:type="dxa" w:w="720"/>
          </w:tcPr>
          <w:p>
            <w:r>
              <w:t>Skew</w:t>
            </w:r>
          </w:p>
        </w:tc>
        <w:tc>
          <w:tcPr>
            <w:tcW w:type="dxa" w:w="720"/>
          </w:tcPr>
          <w:p>
            <w:r>
              <w:t>Excess Kurt.</w:t>
            </w:r>
          </w:p>
        </w:tc>
        <w:tc>
          <w:tcPr>
            <w:tcW w:type="dxa" w:w="720"/>
          </w:tcPr>
          <w:p>
            <w:r>
              <w:t>Emp. 1% VaR</w:t>
            </w:r>
          </w:p>
        </w:tc>
        <w:tc>
          <w:tcPr>
            <w:tcW w:type="dxa" w:w="720"/>
          </w:tcPr>
          <w:p>
            <w:r>
              <w:t>Normal 1% VaR</w:t>
            </w:r>
          </w:p>
        </w:tc>
        <w:tc>
          <w:tcPr>
            <w:tcW w:type="dxa" w:w="720"/>
          </w:tcPr>
          <w:p>
            <w:r>
              <w:t>% &lt; Mean−3SD</w:t>
            </w:r>
          </w:p>
        </w:tc>
        <w:tc>
          <w:tcPr>
            <w:tcW w:type="dxa" w:w="720"/>
          </w:tcPr>
          <w:p>
            <w:r>
              <w:t>1% ES</w:t>
            </w:r>
          </w:p>
        </w:tc>
      </w:tr>
      <w:tr>
        <w:tc>
          <w:tcPr>
            <w:tcW w:type="dxa" w:w="720"/>
          </w:tcPr>
          <w:p>
            <w:r>
              <w:t>SP500</w:t>
            </w:r>
          </w:p>
        </w:tc>
        <w:tc>
          <w:tcPr>
            <w:tcW w:type="dxa" w:w="720"/>
          </w:tcPr>
          <w:p>
            <w:r>
              <w:t>187</w:t>
            </w:r>
          </w:p>
        </w:tc>
        <w:tc>
          <w:tcPr>
            <w:tcW w:type="dxa" w:w="720"/>
          </w:tcPr>
          <w:p>
            <w:r>
              <w:t>12.87%</w:t>
            </w:r>
          </w:p>
        </w:tc>
        <w:tc>
          <w:tcPr>
            <w:tcW w:type="dxa" w:w="720"/>
          </w:tcPr>
          <w:p>
            <w:r>
              <w:t>14.12%</w:t>
            </w:r>
          </w:p>
        </w:tc>
        <w:tc>
          <w:tcPr>
            <w:tcW w:type="dxa" w:w="720"/>
          </w:tcPr>
          <w:p>
            <w:r>
              <w:t>0.912</w:t>
            </w:r>
          </w:p>
        </w:tc>
        <w:tc>
          <w:tcPr>
            <w:tcW w:type="dxa" w:w="720"/>
          </w:tcPr>
          <w:p>
            <w:r>
              <w:t>15.55%</w:t>
            </w:r>
          </w:p>
        </w:tc>
        <w:tc>
          <w:tcPr>
            <w:tcW w:type="dxa" w:w="720"/>
          </w:tcPr>
          <w:p>
            <w:r>
              <w:t>-0.337</w:t>
            </w:r>
          </w:p>
        </w:tc>
        <w:tc>
          <w:tcPr>
            <w:tcW w:type="dxa" w:w="720"/>
          </w:tcPr>
          <w:p>
            <w:r>
              <w:t>0.798</w:t>
            </w:r>
          </w:p>
        </w:tc>
        <w:tc>
          <w:tcPr>
            <w:tcW w:type="dxa" w:w="720"/>
          </w:tcPr>
          <w:p>
            <w:r>
              <w:t>-9.24%</w:t>
            </w:r>
          </w:p>
        </w:tc>
        <w:tc>
          <w:tcPr>
            <w:tcW w:type="dxa" w:w="720"/>
          </w:tcPr>
          <w:p>
            <w:r>
              <w:t>-8.41%</w:t>
            </w:r>
          </w:p>
        </w:tc>
        <w:tc>
          <w:tcPr>
            <w:tcW w:type="dxa" w:w="720"/>
          </w:tcPr>
          <w:p>
            <w:r>
              <w:t>0.53%</w:t>
            </w:r>
          </w:p>
        </w:tc>
        <w:tc>
          <w:tcPr>
            <w:tcW w:type="dxa" w:w="720"/>
          </w:tcPr>
          <w:p>
            <w:r>
              <w:t>-10.94%</w:t>
            </w:r>
          </w:p>
        </w:tc>
      </w:tr>
      <w:tr>
        <w:tc>
          <w:tcPr>
            <w:tcW w:type="dxa" w:w="720"/>
          </w:tcPr>
          <w:p>
            <w:r>
              <w:t>Small_Growth</w:t>
            </w:r>
          </w:p>
        </w:tc>
        <w:tc>
          <w:tcPr>
            <w:tcW w:type="dxa" w:w="720"/>
          </w:tcPr>
          <w:p>
            <w:r>
              <w:t>187</w:t>
            </w:r>
          </w:p>
        </w:tc>
        <w:tc>
          <w:tcPr>
            <w:tcW w:type="dxa" w:w="720"/>
          </w:tcPr>
          <w:p>
            <w:r>
              <w:t>11.29%</w:t>
            </w:r>
          </w:p>
        </w:tc>
        <w:tc>
          <w:tcPr>
            <w:tcW w:type="dxa" w:w="720"/>
          </w:tcPr>
          <w:p>
            <w:r>
              <w:t>21.42%</w:t>
            </w:r>
          </w:p>
        </w:tc>
        <w:tc>
          <w:tcPr>
            <w:tcW w:type="dxa" w:w="720"/>
          </w:tcPr>
          <w:p>
            <w:r>
              <w:t>0.527</w:t>
            </w:r>
          </w:p>
        </w:tc>
        <w:tc>
          <w:tcPr>
            <w:tcW w:type="dxa" w:w="720"/>
          </w:tcPr>
          <w:p>
            <w:r>
              <w:t>21.97%</w:t>
            </w:r>
          </w:p>
        </w:tc>
        <w:tc>
          <w:tcPr>
            <w:tcW w:type="dxa" w:w="720"/>
          </w:tcPr>
          <w:p>
            <w:r>
              <w:t>0.011</w:t>
            </w:r>
          </w:p>
        </w:tc>
        <w:tc>
          <w:tcPr>
            <w:tcW w:type="dxa" w:w="720"/>
          </w:tcPr>
          <w:p>
            <w:r>
              <w:t>1.090</w:t>
            </w:r>
          </w:p>
        </w:tc>
        <w:tc>
          <w:tcPr>
            <w:tcW w:type="dxa" w:w="720"/>
          </w:tcPr>
          <w:p>
            <w:r>
              <w:t>-13.61%</w:t>
            </w:r>
          </w:p>
        </w:tc>
        <w:tc>
          <w:tcPr>
            <w:tcW w:type="dxa" w:w="720"/>
          </w:tcPr>
          <w:p>
            <w:r>
              <w:t>-13.44%</w:t>
            </w:r>
          </w:p>
        </w:tc>
        <w:tc>
          <w:tcPr>
            <w:tcW w:type="dxa" w:w="720"/>
          </w:tcPr>
          <w:p>
            <w:r>
              <w:t>0.53%</w:t>
            </w:r>
          </w:p>
        </w:tc>
        <w:tc>
          <w:tcPr>
            <w:tcW w:type="dxa" w:w="720"/>
          </w:tcPr>
          <w:p>
            <w:r>
              <w:t>-16.35%</w:t>
            </w:r>
          </w:p>
        </w:tc>
      </w:tr>
      <w:tr>
        <w:tc>
          <w:tcPr>
            <w:tcW w:type="dxa" w:w="720"/>
          </w:tcPr>
          <w:p>
            <w:r>
              <w:t>Small_Value</w:t>
            </w:r>
          </w:p>
        </w:tc>
        <w:tc>
          <w:tcPr>
            <w:tcW w:type="dxa" w:w="720"/>
          </w:tcPr>
          <w:p>
            <w:r>
              <w:t>187</w:t>
            </w:r>
          </w:p>
        </w:tc>
        <w:tc>
          <w:tcPr>
            <w:tcW w:type="dxa" w:w="720"/>
          </w:tcPr>
          <w:p>
            <w:r>
              <w:t>11.28%</w:t>
            </w:r>
          </w:p>
        </w:tc>
        <w:tc>
          <w:tcPr>
            <w:tcW w:type="dxa" w:w="720"/>
          </w:tcPr>
          <w:p>
            <w:r>
              <w:t>20.70%</w:t>
            </w:r>
          </w:p>
        </w:tc>
        <w:tc>
          <w:tcPr>
            <w:tcW w:type="dxa" w:w="720"/>
          </w:tcPr>
          <w:p>
            <w:r>
              <w:t>0.545</w:t>
            </w:r>
          </w:p>
        </w:tc>
        <w:tc>
          <w:tcPr>
            <w:tcW w:type="dxa" w:w="720"/>
          </w:tcPr>
          <w:p>
            <w:r>
              <w:t>21.67%</w:t>
            </w:r>
          </w:p>
        </w:tc>
        <w:tc>
          <w:tcPr>
            <w:tcW w:type="dxa" w:w="720"/>
          </w:tcPr>
          <w:p>
            <w:r>
              <w:t>-0.414</w:t>
            </w:r>
          </w:p>
        </w:tc>
        <w:tc>
          <w:tcPr>
            <w:tcW w:type="dxa" w:w="720"/>
          </w:tcPr>
          <w:p>
            <w:r>
              <w:t>2.663</w:t>
            </w:r>
          </w:p>
        </w:tc>
        <w:tc>
          <w:tcPr>
            <w:tcW w:type="dxa" w:w="720"/>
          </w:tcPr>
          <w:p>
            <w:r>
              <w:t>-11.48%</w:t>
            </w:r>
          </w:p>
        </w:tc>
        <w:tc>
          <w:tcPr>
            <w:tcW w:type="dxa" w:w="720"/>
          </w:tcPr>
          <w:p>
            <w:r>
              <w:t>-12.96%</w:t>
            </w:r>
          </w:p>
        </w:tc>
        <w:tc>
          <w:tcPr>
            <w:tcW w:type="dxa" w:w="720"/>
          </w:tcPr>
          <w:p>
            <w:r>
              <w:t>0.53%</w:t>
            </w:r>
          </w:p>
        </w:tc>
        <w:tc>
          <w:tcPr>
            <w:tcW w:type="dxa" w:w="720"/>
          </w:tcPr>
          <w:p>
            <w:r>
              <w:t>-20.41%</w:t>
            </w:r>
          </w:p>
        </w:tc>
      </w:tr>
      <w:tr>
        <w:tc>
          <w:tcPr>
            <w:tcW w:type="dxa" w:w="720"/>
          </w:tcPr>
          <w:p>
            <w:r>
              <w:t>Big_Growth</w:t>
            </w:r>
          </w:p>
        </w:tc>
        <w:tc>
          <w:tcPr>
            <w:tcW w:type="dxa" w:w="720"/>
          </w:tcPr>
          <w:p>
            <w:r>
              <w:t>187</w:t>
            </w:r>
          </w:p>
        </w:tc>
        <w:tc>
          <w:tcPr>
            <w:tcW w:type="dxa" w:w="720"/>
          </w:tcPr>
          <w:p>
            <w:r>
              <w:t>14.46%</w:t>
            </w:r>
          </w:p>
        </w:tc>
        <w:tc>
          <w:tcPr>
            <w:tcW w:type="dxa" w:w="720"/>
          </w:tcPr>
          <w:p>
            <w:r>
              <w:t>14.84%</w:t>
            </w:r>
          </w:p>
        </w:tc>
        <w:tc>
          <w:tcPr>
            <w:tcW w:type="dxa" w:w="720"/>
          </w:tcPr>
          <w:p>
            <w:r>
              <w:t>0.974</w:t>
            </w:r>
          </w:p>
        </w:tc>
        <w:tc>
          <w:tcPr>
            <w:tcW w:type="dxa" w:w="720"/>
          </w:tcPr>
          <w:p>
            <w:r>
              <w:t>15.87%</w:t>
            </w:r>
          </w:p>
        </w:tc>
        <w:tc>
          <w:tcPr>
            <w:tcW w:type="dxa" w:w="720"/>
          </w:tcPr>
          <w:p>
            <w:r>
              <w:t>-0.194</w:t>
            </w:r>
          </w:p>
        </w:tc>
        <w:tc>
          <w:tcPr>
            <w:tcW w:type="dxa" w:w="720"/>
          </w:tcPr>
          <w:p>
            <w:r>
              <w:t>0.428</w:t>
            </w:r>
          </w:p>
        </w:tc>
        <w:tc>
          <w:tcPr>
            <w:tcW w:type="dxa" w:w="720"/>
          </w:tcPr>
          <w:p>
            <w:r>
              <w:t>-9.12%</w:t>
            </w:r>
          </w:p>
        </w:tc>
        <w:tc>
          <w:tcPr>
            <w:tcW w:type="dxa" w:w="720"/>
          </w:tcPr>
          <w:p>
            <w:r>
              <w:t>-8.76%</w:t>
            </w:r>
          </w:p>
        </w:tc>
        <w:tc>
          <w:tcPr>
            <w:tcW w:type="dxa" w:w="720"/>
          </w:tcPr>
          <w:p>
            <w:r>
              <w:t>0.00%</w:t>
            </w:r>
          </w:p>
        </w:tc>
        <w:tc>
          <w:tcPr>
            <w:tcW w:type="dxa" w:w="720"/>
          </w:tcPr>
          <w:p>
            <w:r>
              <w:t>-9.97%</w:t>
            </w:r>
          </w:p>
        </w:tc>
      </w:tr>
      <w:tr>
        <w:tc>
          <w:tcPr>
            <w:tcW w:type="dxa" w:w="720"/>
          </w:tcPr>
          <w:p>
            <w:r>
              <w:t>Big_Value</w:t>
            </w:r>
          </w:p>
        </w:tc>
        <w:tc>
          <w:tcPr>
            <w:tcW w:type="dxa" w:w="720"/>
          </w:tcPr>
          <w:p>
            <w:r>
              <w:t>187</w:t>
            </w:r>
          </w:p>
        </w:tc>
        <w:tc>
          <w:tcPr>
            <w:tcW w:type="dxa" w:w="720"/>
          </w:tcPr>
          <w:p>
            <w:r>
              <w:t>14.15%</w:t>
            </w:r>
          </w:p>
        </w:tc>
        <w:tc>
          <w:tcPr>
            <w:tcW w:type="dxa" w:w="720"/>
          </w:tcPr>
          <w:p>
            <w:r>
              <w:t>19.32%</w:t>
            </w:r>
          </w:p>
        </w:tc>
        <w:tc>
          <w:tcPr>
            <w:tcW w:type="dxa" w:w="720"/>
          </w:tcPr>
          <w:p>
            <w:r>
              <w:t>0.733</w:t>
            </w:r>
          </w:p>
        </w:tc>
        <w:tc>
          <w:tcPr>
            <w:tcW w:type="dxa" w:w="720"/>
          </w:tcPr>
          <w:p>
            <w:r>
              <w:t>21.61%</w:t>
            </w:r>
          </w:p>
        </w:tc>
        <w:tc>
          <w:tcPr>
            <w:tcW w:type="dxa" w:w="720"/>
          </w:tcPr>
          <w:p>
            <w:r>
              <w:t>-0.627</w:t>
            </w:r>
          </w:p>
        </w:tc>
        <w:tc>
          <w:tcPr>
            <w:tcW w:type="dxa" w:w="720"/>
          </w:tcPr>
          <w:p>
            <w:r>
              <w:t>3.400</w:t>
            </w:r>
          </w:p>
        </w:tc>
        <w:tc>
          <w:tcPr>
            <w:tcW w:type="dxa" w:w="720"/>
          </w:tcPr>
          <w:p>
            <w:r>
              <w:t>-11.87%</w:t>
            </w:r>
          </w:p>
        </w:tc>
        <w:tc>
          <w:tcPr>
            <w:tcW w:type="dxa" w:w="720"/>
          </w:tcPr>
          <w:p>
            <w:r>
              <w:t>-11.79%</w:t>
            </w:r>
          </w:p>
        </w:tc>
        <w:tc>
          <w:tcPr>
            <w:tcW w:type="dxa" w:w="720"/>
          </w:tcPr>
          <w:p>
            <w:r>
              <w:t>0.53%</w:t>
            </w:r>
          </w:p>
        </w:tc>
        <w:tc>
          <w:tcPr>
            <w:tcW w:type="dxa" w:w="720"/>
          </w:tcPr>
          <w:p>
            <w:r>
              <w:t>-19.94%</w:t>
            </w:r>
          </w:p>
        </w:tc>
      </w:tr>
    </w:tbl>
    <w:p/>
    <w:p>
      <w:pPr>
        <w:pStyle w:val="Heading1"/>
      </w:pPr>
      <w:r>
        <w:t>Figures</w:t>
      </w:r>
    </w:p>
    <w:p>
      <w:pPr>
        <w:pStyle w:val="Heading2"/>
      </w:pPr>
      <w:r>
        <w:t>Monthly Excess Returns</w:t>
      </w:r>
    </w:p>
    <w:p>
      <w:r>
        <w:drawing>
          <wp:inline xmlns:a="http://schemas.openxmlformats.org/drawingml/2006/main" xmlns:pic="http://schemas.openxmlformats.org/drawingml/2006/picture">
            <wp:extent cx="5669280" cy="2795611"/>
            <wp:docPr id="1" name="Picture 1"/>
            <wp:cNvGraphicFramePr>
              <a:graphicFrameLocks noChangeAspect="1"/>
            </wp:cNvGraphicFramePr>
            <a:graphic>
              <a:graphicData uri="http://schemas.openxmlformats.org/drawingml/2006/picture">
                <pic:pic>
                  <pic:nvPicPr>
                    <pic:cNvPr id="0" name="time_series_SP500.png"/>
                    <pic:cNvPicPr/>
                  </pic:nvPicPr>
                  <pic:blipFill>
                    <a:blip r:embed="rId9"/>
                    <a:stretch>
                      <a:fillRect/>
                    </a:stretch>
                  </pic:blipFill>
                  <pic:spPr>
                    <a:xfrm>
                      <a:off x="0" y="0"/>
                      <a:ext cx="5669280" cy="2795611"/>
                    </a:xfrm>
                    <a:prstGeom prst="rect"/>
                  </pic:spPr>
                </pic:pic>
              </a:graphicData>
            </a:graphic>
          </wp:inline>
        </w:drawing>
      </w:r>
    </w:p>
    <w:p>
      <w:pPr>
        <w:jc w:val="center"/>
      </w:pPr>
      <w:r>
        <w:rPr>
          <w:i/>
        </w:rPr>
        <w:t>time_series_SP500</w:t>
      </w:r>
    </w:p>
    <w:p>
      <w:r>
        <w:drawing>
          <wp:inline xmlns:a="http://schemas.openxmlformats.org/drawingml/2006/main" xmlns:pic="http://schemas.openxmlformats.org/drawingml/2006/picture">
            <wp:extent cx="5669280" cy="2795611"/>
            <wp:docPr id="2" name="Picture 2"/>
            <wp:cNvGraphicFramePr>
              <a:graphicFrameLocks noChangeAspect="1"/>
            </wp:cNvGraphicFramePr>
            <a:graphic>
              <a:graphicData uri="http://schemas.openxmlformats.org/drawingml/2006/picture">
                <pic:pic>
                  <pic:nvPicPr>
                    <pic:cNvPr id="0" name="time_series_Small_Growth.png"/>
                    <pic:cNvPicPr/>
                  </pic:nvPicPr>
                  <pic:blipFill>
                    <a:blip r:embed="rId10"/>
                    <a:stretch>
                      <a:fillRect/>
                    </a:stretch>
                  </pic:blipFill>
                  <pic:spPr>
                    <a:xfrm>
                      <a:off x="0" y="0"/>
                      <a:ext cx="5669280" cy="2795611"/>
                    </a:xfrm>
                    <a:prstGeom prst="rect"/>
                  </pic:spPr>
                </pic:pic>
              </a:graphicData>
            </a:graphic>
          </wp:inline>
        </w:drawing>
      </w:r>
    </w:p>
    <w:p>
      <w:pPr>
        <w:jc w:val="center"/>
      </w:pPr>
      <w:r>
        <w:rPr>
          <w:i/>
        </w:rPr>
        <w:t>time_series_Small_Growth</w:t>
      </w:r>
    </w:p>
    <w:p>
      <w:r>
        <w:drawing>
          <wp:inline xmlns:a="http://schemas.openxmlformats.org/drawingml/2006/main" xmlns:pic="http://schemas.openxmlformats.org/drawingml/2006/picture">
            <wp:extent cx="5669280" cy="2795611"/>
            <wp:docPr id="3" name="Picture 3"/>
            <wp:cNvGraphicFramePr>
              <a:graphicFrameLocks noChangeAspect="1"/>
            </wp:cNvGraphicFramePr>
            <a:graphic>
              <a:graphicData uri="http://schemas.openxmlformats.org/drawingml/2006/picture">
                <pic:pic>
                  <pic:nvPicPr>
                    <pic:cNvPr id="0" name="time_series_Small_Value.png"/>
                    <pic:cNvPicPr/>
                  </pic:nvPicPr>
                  <pic:blipFill>
                    <a:blip r:embed="rId11"/>
                    <a:stretch>
                      <a:fillRect/>
                    </a:stretch>
                  </pic:blipFill>
                  <pic:spPr>
                    <a:xfrm>
                      <a:off x="0" y="0"/>
                      <a:ext cx="5669280" cy="2795611"/>
                    </a:xfrm>
                    <a:prstGeom prst="rect"/>
                  </pic:spPr>
                </pic:pic>
              </a:graphicData>
            </a:graphic>
          </wp:inline>
        </w:drawing>
      </w:r>
    </w:p>
    <w:p>
      <w:pPr>
        <w:jc w:val="center"/>
      </w:pPr>
      <w:r>
        <w:rPr>
          <w:i/>
        </w:rPr>
        <w:t>time_series_Small_Value</w:t>
      </w:r>
    </w:p>
    <w:p>
      <w:r>
        <w:drawing>
          <wp:inline xmlns:a="http://schemas.openxmlformats.org/drawingml/2006/main" xmlns:pic="http://schemas.openxmlformats.org/drawingml/2006/picture">
            <wp:extent cx="5669280" cy="2795611"/>
            <wp:docPr id="4" name="Picture 4"/>
            <wp:cNvGraphicFramePr>
              <a:graphicFrameLocks noChangeAspect="1"/>
            </wp:cNvGraphicFramePr>
            <a:graphic>
              <a:graphicData uri="http://schemas.openxmlformats.org/drawingml/2006/picture">
                <pic:pic>
                  <pic:nvPicPr>
                    <pic:cNvPr id="0" name="time_series_Big_Growth.png"/>
                    <pic:cNvPicPr/>
                  </pic:nvPicPr>
                  <pic:blipFill>
                    <a:blip r:embed="rId12"/>
                    <a:stretch>
                      <a:fillRect/>
                    </a:stretch>
                  </pic:blipFill>
                  <pic:spPr>
                    <a:xfrm>
                      <a:off x="0" y="0"/>
                      <a:ext cx="5669280" cy="2795611"/>
                    </a:xfrm>
                    <a:prstGeom prst="rect"/>
                  </pic:spPr>
                </pic:pic>
              </a:graphicData>
            </a:graphic>
          </wp:inline>
        </w:drawing>
      </w:r>
    </w:p>
    <w:p>
      <w:pPr>
        <w:jc w:val="center"/>
      </w:pPr>
      <w:r>
        <w:rPr>
          <w:i/>
        </w:rPr>
        <w:t>time_series_Big_Growth</w:t>
      </w:r>
    </w:p>
    <w:p>
      <w:r>
        <w:drawing>
          <wp:inline xmlns:a="http://schemas.openxmlformats.org/drawingml/2006/main" xmlns:pic="http://schemas.openxmlformats.org/drawingml/2006/picture">
            <wp:extent cx="5669280" cy="2795611"/>
            <wp:docPr id="5" name="Picture 5"/>
            <wp:cNvGraphicFramePr>
              <a:graphicFrameLocks noChangeAspect="1"/>
            </wp:cNvGraphicFramePr>
            <a:graphic>
              <a:graphicData uri="http://schemas.openxmlformats.org/drawingml/2006/picture">
                <pic:pic>
                  <pic:nvPicPr>
                    <pic:cNvPr id="0" name="time_series_Big_Value.png"/>
                    <pic:cNvPicPr/>
                  </pic:nvPicPr>
                  <pic:blipFill>
                    <a:blip r:embed="rId13"/>
                    <a:stretch>
                      <a:fillRect/>
                    </a:stretch>
                  </pic:blipFill>
                  <pic:spPr>
                    <a:xfrm>
                      <a:off x="0" y="0"/>
                      <a:ext cx="5669280" cy="2795611"/>
                    </a:xfrm>
                    <a:prstGeom prst="rect"/>
                  </pic:spPr>
                </pic:pic>
              </a:graphicData>
            </a:graphic>
          </wp:inline>
        </w:drawing>
      </w:r>
    </w:p>
    <w:p>
      <w:pPr>
        <w:jc w:val="center"/>
      </w:pPr>
      <w:r>
        <w:rPr>
          <w:i/>
        </w:rPr>
        <w:t>time_series_Big_Value</w:t>
      </w:r>
    </w:p>
    <w:p>
      <w:pPr>
        <w:pStyle w:val="Heading2"/>
      </w:pPr>
      <w:r>
        <w:t>Empirical versus Normal Distributions</w:t>
      </w:r>
    </w:p>
    <w:p>
      <w:r>
        <w:drawing>
          <wp:inline xmlns:a="http://schemas.openxmlformats.org/drawingml/2006/main" xmlns:pic="http://schemas.openxmlformats.org/drawingml/2006/picture">
            <wp:extent cx="5669280" cy="3630592"/>
            <wp:docPr id="6" name="Picture 6"/>
            <wp:cNvGraphicFramePr>
              <a:graphicFrameLocks noChangeAspect="1"/>
            </wp:cNvGraphicFramePr>
            <a:graphic>
              <a:graphicData uri="http://schemas.openxmlformats.org/drawingml/2006/picture">
                <pic:pic>
                  <pic:nvPicPr>
                    <pic:cNvPr id="0" name="histogram_normal_SP500.png"/>
                    <pic:cNvPicPr/>
                  </pic:nvPicPr>
                  <pic:blipFill>
                    <a:blip r:embed="rId14"/>
                    <a:stretch>
                      <a:fillRect/>
                    </a:stretch>
                  </pic:blipFill>
                  <pic:spPr>
                    <a:xfrm>
                      <a:off x="0" y="0"/>
                      <a:ext cx="5669280" cy="3630592"/>
                    </a:xfrm>
                    <a:prstGeom prst="rect"/>
                  </pic:spPr>
                </pic:pic>
              </a:graphicData>
            </a:graphic>
          </wp:inline>
        </w:drawing>
      </w:r>
    </w:p>
    <w:p>
      <w:pPr>
        <w:jc w:val="center"/>
      </w:pPr>
      <w:r>
        <w:rPr>
          <w:i/>
        </w:rPr>
        <w:t>histogram_normal_SP500</w:t>
      </w:r>
    </w:p>
    <w:p>
      <w:r>
        <w:drawing>
          <wp:inline xmlns:a="http://schemas.openxmlformats.org/drawingml/2006/main" xmlns:pic="http://schemas.openxmlformats.org/drawingml/2006/picture">
            <wp:extent cx="5669280" cy="3637819"/>
            <wp:docPr id="7" name="Picture 7"/>
            <wp:cNvGraphicFramePr>
              <a:graphicFrameLocks noChangeAspect="1"/>
            </wp:cNvGraphicFramePr>
            <a:graphic>
              <a:graphicData uri="http://schemas.openxmlformats.org/drawingml/2006/picture">
                <pic:pic>
                  <pic:nvPicPr>
                    <pic:cNvPr id="0" name="histogram_normal_Small_Growth.png"/>
                    <pic:cNvPicPr/>
                  </pic:nvPicPr>
                  <pic:blipFill>
                    <a:blip r:embed="rId15"/>
                    <a:stretch>
                      <a:fillRect/>
                    </a:stretch>
                  </pic:blipFill>
                  <pic:spPr>
                    <a:xfrm>
                      <a:off x="0" y="0"/>
                      <a:ext cx="5669280" cy="3637819"/>
                    </a:xfrm>
                    <a:prstGeom prst="rect"/>
                  </pic:spPr>
                </pic:pic>
              </a:graphicData>
            </a:graphic>
          </wp:inline>
        </w:drawing>
      </w:r>
    </w:p>
    <w:p>
      <w:pPr>
        <w:jc w:val="center"/>
      </w:pPr>
      <w:r>
        <w:rPr>
          <w:i/>
        </w:rPr>
        <w:t>histogram_normal_Small_Growth</w:t>
      </w:r>
    </w:p>
    <w:p>
      <w:r>
        <w:drawing>
          <wp:inline xmlns:a="http://schemas.openxmlformats.org/drawingml/2006/main" xmlns:pic="http://schemas.openxmlformats.org/drawingml/2006/picture">
            <wp:extent cx="5669280" cy="3630592"/>
            <wp:docPr id="8" name="Picture 8"/>
            <wp:cNvGraphicFramePr>
              <a:graphicFrameLocks noChangeAspect="1"/>
            </wp:cNvGraphicFramePr>
            <a:graphic>
              <a:graphicData uri="http://schemas.openxmlformats.org/drawingml/2006/picture">
                <pic:pic>
                  <pic:nvPicPr>
                    <pic:cNvPr id="0" name="histogram_normal_Small_Value.png"/>
                    <pic:cNvPicPr/>
                  </pic:nvPicPr>
                  <pic:blipFill>
                    <a:blip r:embed="rId16"/>
                    <a:stretch>
                      <a:fillRect/>
                    </a:stretch>
                  </pic:blipFill>
                  <pic:spPr>
                    <a:xfrm>
                      <a:off x="0" y="0"/>
                      <a:ext cx="5669280" cy="3630592"/>
                    </a:xfrm>
                    <a:prstGeom prst="rect"/>
                  </pic:spPr>
                </pic:pic>
              </a:graphicData>
            </a:graphic>
          </wp:inline>
        </w:drawing>
      </w:r>
    </w:p>
    <w:p>
      <w:pPr>
        <w:jc w:val="center"/>
      </w:pPr>
      <w:r>
        <w:rPr>
          <w:i/>
        </w:rPr>
        <w:t>histogram_normal_Small_Value</w:t>
      </w:r>
    </w:p>
    <w:p>
      <w:r>
        <w:drawing>
          <wp:inline xmlns:a="http://schemas.openxmlformats.org/drawingml/2006/main" xmlns:pic="http://schemas.openxmlformats.org/drawingml/2006/picture">
            <wp:extent cx="5669280" cy="3630592"/>
            <wp:docPr id="9" name="Picture 9"/>
            <wp:cNvGraphicFramePr>
              <a:graphicFrameLocks noChangeAspect="1"/>
            </wp:cNvGraphicFramePr>
            <a:graphic>
              <a:graphicData uri="http://schemas.openxmlformats.org/drawingml/2006/picture">
                <pic:pic>
                  <pic:nvPicPr>
                    <pic:cNvPr id="0" name="histogram_normal_Big_Growth.png"/>
                    <pic:cNvPicPr/>
                  </pic:nvPicPr>
                  <pic:blipFill>
                    <a:blip r:embed="rId17"/>
                    <a:stretch>
                      <a:fillRect/>
                    </a:stretch>
                  </pic:blipFill>
                  <pic:spPr>
                    <a:xfrm>
                      <a:off x="0" y="0"/>
                      <a:ext cx="5669280" cy="3630592"/>
                    </a:xfrm>
                    <a:prstGeom prst="rect"/>
                  </pic:spPr>
                </pic:pic>
              </a:graphicData>
            </a:graphic>
          </wp:inline>
        </w:drawing>
      </w:r>
    </w:p>
    <w:p>
      <w:pPr>
        <w:jc w:val="center"/>
      </w:pPr>
      <w:r>
        <w:rPr>
          <w:i/>
        </w:rPr>
        <w:t>histogram_normal_Big_Growth</w:t>
      </w:r>
    </w:p>
    <w:p>
      <w:r>
        <w:drawing>
          <wp:inline xmlns:a="http://schemas.openxmlformats.org/drawingml/2006/main" xmlns:pic="http://schemas.openxmlformats.org/drawingml/2006/picture">
            <wp:extent cx="5669280" cy="3632998"/>
            <wp:docPr id="10" name="Picture 10"/>
            <wp:cNvGraphicFramePr>
              <a:graphicFrameLocks noChangeAspect="1"/>
            </wp:cNvGraphicFramePr>
            <a:graphic>
              <a:graphicData uri="http://schemas.openxmlformats.org/drawingml/2006/picture">
                <pic:pic>
                  <pic:nvPicPr>
                    <pic:cNvPr id="0" name="histogram_normal_Big_Value.png"/>
                    <pic:cNvPicPr/>
                  </pic:nvPicPr>
                  <pic:blipFill>
                    <a:blip r:embed="rId18"/>
                    <a:stretch>
                      <a:fillRect/>
                    </a:stretch>
                  </pic:blipFill>
                  <pic:spPr>
                    <a:xfrm>
                      <a:off x="0" y="0"/>
                      <a:ext cx="5669280" cy="3632998"/>
                    </a:xfrm>
                    <a:prstGeom prst="rect"/>
                  </pic:spPr>
                </pic:pic>
              </a:graphicData>
            </a:graphic>
          </wp:inline>
        </w:drawing>
      </w:r>
    </w:p>
    <w:p>
      <w:pPr>
        <w:jc w:val="center"/>
      </w:pPr>
      <w:r>
        <w:rPr>
          <w:i/>
        </w:rPr>
        <w:t>histogram_normal_Big_Value</w:t>
      </w:r>
    </w:p>
    <w:p>
      <w:pPr>
        <w:pStyle w:val="Heading2"/>
      </w:pPr>
      <w:r>
        <w:t>Left-Tail Comparison</w:t>
      </w:r>
    </w:p>
    <w:p>
      <w:r>
        <w:drawing>
          <wp:inline xmlns:a="http://schemas.openxmlformats.org/drawingml/2006/main" xmlns:pic="http://schemas.openxmlformats.org/drawingml/2006/picture">
            <wp:extent cx="5669280" cy="3745268"/>
            <wp:docPr id="11" name="Picture 11"/>
            <wp:cNvGraphicFramePr>
              <a:graphicFrameLocks noChangeAspect="1"/>
            </wp:cNvGraphicFramePr>
            <a:graphic>
              <a:graphicData uri="http://schemas.openxmlformats.org/drawingml/2006/picture">
                <pic:pic>
                  <pic:nvPicPr>
                    <pic:cNvPr id="0" name="tail_comparison_ecdf.png"/>
                    <pic:cNvPicPr/>
                  </pic:nvPicPr>
                  <pic:blipFill>
                    <a:blip r:embed="rId19"/>
                    <a:stretch>
                      <a:fillRect/>
                    </a:stretch>
                  </pic:blipFill>
                  <pic:spPr>
                    <a:xfrm>
                      <a:off x="0" y="0"/>
                      <a:ext cx="5669280" cy="3745268"/>
                    </a:xfrm>
                    <a:prstGeom prst="rect"/>
                  </pic:spPr>
                </pic:pic>
              </a:graphicData>
            </a:graphic>
          </wp:inline>
        </w:drawing>
      </w:r>
    </w:p>
    <w:p>
      <w:pPr>
        <w:jc w:val="center"/>
      </w:pPr>
      <w:r>
        <w:rPr>
          <w:i/>
        </w:rPr>
        <w:t>tail_comparison_ecdf</w:t>
      </w:r>
    </w:p>
    <w:p>
      <w:pPr>
        <w:pStyle w:val="Heading1"/>
      </w:pPr>
      <w:r>
        <w:t>Economic Interpretation</w:t>
      </w:r>
    </w:p>
    <w:p>
      <w:pPr>
        <w:pStyle w:val="Heading2"/>
      </w:pPr>
      <w:r>
        <w:t>Q1 — Average Excess Returns and Sharpe Ratios</w:t>
      </w:r>
    </w:p>
    <w:p>
      <w:r>
        <w:t>Evidence:</w:t>
      </w:r>
    </w:p>
    <w:p>
      <w:r>
        <w:t>In the full-history sample (January 1988–July 2026), Small Value has the highest annualized mean excess return at 11.52%, followed by Big Value at 10.67%, Big Growth at 10.08%, the S&amp;P 500 at 9.05%, and Small Growth at 7.84%. The Sharpe ordering differs: Big Growth ranks first at 0.661, followed by the S&amp;P 500 at 0.619, Small Value at 0.588, Big Value at 0.586, and Small Growth at 0.344. Rankings change across subperiods. Big Value has the highest Sharpe ratio in 1990–2000 (0.893), Small Value in 2001–2010 (0.466), and Big Growth in 2011–July 2026 (0.974). Mean-return leaders likewise change from Big Value (12.51%) to Small Value (10.58%) to Big Growth (14.46%) across those samples.</w:t>
      </w:r>
    </w:p>
    <w:p>
      <w:r>
        <w:t>Interpretation:</w:t>
      </w:r>
    </w:p>
    <w:p>
      <w:r>
        <w:t>The full-history return leader is not the risk-adjusted-return leader: Small Value's higher mean came with enough volatility to leave its Sharpe ratio below those of Big Growth and the S&amp;P 500. Small Growth was weakest on both full-history mean excess return and Sharpe ratio. Because both mean and Sharpe leaders vary by subperiod, the evidence does not support a stable performance ranking through time.</w:t>
      </w:r>
    </w:p>
    <w:p>
      <w:pPr>
        <w:pStyle w:val="Heading2"/>
      </w:pPr>
      <w:r>
        <w:t>Q2 — Total and Downside Volatility</w:t>
      </w:r>
    </w:p>
    <w:p>
      <w:r>
        <w:t>Evidence:</w:t>
      </w:r>
    </w:p>
    <w:p>
      <w:r>
        <w:t>For the full-history sample, Small Growth has the highest annualized standard deviation (22.81%) and lower-partial standard deviation (24.36%). The S&amp;P 500 has the lowest total volatility (14.60%), while Big Growth has the lowest downside volatility (16.41%), narrowly below the S&amp;P 500 (16.45%). Small Value records 19.60% total and 21.41% downside volatility; Big Value records 18.22% and 20.34%. In every full-history asset series, lower-partial volatility exceeds total volatility. This pattern also holds for every asset in each reported subperiod—for example, in 2001–2010 Big Value's total volatility is 21.54% and its downside volatility is 24.77%.</w:t>
      </w:r>
    </w:p>
    <w:p>
      <w:r>
        <w:t>Interpretation:</w:t>
      </w:r>
    </w:p>
    <w:p>
      <w:r>
        <w:t>Small Growth carried the greatest overall and adverse-return variability over the full history. The consistently higher lower-partial measures indicate that downside outcomes were more dispersed than the corresponding all-return standard deviations suggest. Thus, total volatility alone understates the concentration of risk in unfavorable months, particularly for the small portfolios and Big Value.</w:t>
      </w:r>
    </w:p>
    <w:p>
      <w:pPr>
        <w:pStyle w:val="Heading2"/>
      </w:pPr>
      <w:r>
        <w:t>Q3 — Normality and Tail Risk</w:t>
      </w:r>
    </w:p>
    <w:p>
      <w:r>
        <w:t>Evidence:</w:t>
      </w:r>
    </w:p>
    <w:p>
      <w:r>
        <w:t>The full-history evidence rejects a simple normal characterization most strongly for the value portfolios. Big Value has skewness of -0.705, excess kurtosis of 3.023, an empirical monthly 1% VaR of -14.53% versus normal VaR of -11.35%, and 1.080% of observations below mean minus three standard deviations. Small Value has skewness of -0.569, excess kurtosis of 2.227, empirical VaR of -14.95% versus normal VaR of -12.20%, and a 0.648% beyond-three-SD loss frequency. The S&amp;P 500 is also left-skewed (-0.506) and leptokurtic (excess kurtosis 1.016), with empirical VaR of -10.07% versus normal VaR of -9.05% and a 0.649% beyond-three-SD frequency. Small Growth and Big Growth have less negative skewness (-0.141 and -0.343), but positive excess kurtosis (1.326 and 0.651) and empirical VaRs more negative than their normal VaRs. The five full-history histogram/normal-overlay figures show visible departures from the fitted normal curves, while `tail_comparison_ecdf.png` displays distinct and extended empirical left tails across the assets.</w:t>
      </w:r>
    </w:p>
    <w:p>
      <w:r>
        <w:t>Interpretation:</w:t>
      </w:r>
    </w:p>
    <w:p>
      <w:r>
        <w:t>Taken together—not inferred from any single measure—the negative skewness, positive excess kurtosis, frequent extreme losses, VaR gaps, histogram deviations, and tail-comparison figure indicate asymmetric and fat-tailed downside risk. A normal model would understate the full-history 1% loss threshold for all five assets, with especially large understatement for Big Value and Small Value. The evidence supports non-normal tail risk, not a claim that every asset departs from normality to the same degree.</w:t>
      </w:r>
    </w:p>
    <w:p>
      <w:pPr>
        <w:pStyle w:val="Heading2"/>
      </w:pPr>
      <w:r>
        <w:t>Q4 — Expected Shortfall versus VaR</w:t>
      </w:r>
    </w:p>
    <w:p>
      <w:r>
        <w:t>Evidence:</w:t>
      </w:r>
    </w:p>
    <w:p>
      <w:r>
        <w:t>In the full-history sample, every 1% expected shortfall is more negative than its empirical 1% VaR: S&amp;P 500, -13.18% versus -10.07%; Small Growth, -19.98% versus -16.05%; Small Value, -19.63% versus -14.95%; Big Growth, -12.62% versus -10.69%; and Big Value, -20.04% versus -14.53%. Big Value has the most negative full-history expected shortfall, although Small Growth has the most negative full-history empirical VaR. The distinction also matters within subperiods: in 2011–July 2026, Small Value's empirical VaR is -11.48%, but its expected shortfall is -20.41%.</w:t>
      </w:r>
    </w:p>
    <w:p>
      <w:r>
        <w:t>Interpretation:</w:t>
      </w:r>
    </w:p>
    <w:p>
      <w:r>
        <w:t>VaR identifies the loss threshold at the 1% tail, whereas expected shortfall measures the average severity of outcomes beyond that threshold. The more negative expected-shortfall values show that losses can deepen materially after the VaR boundary is crossed. The differing full-history leaders demonstrate why threshold risk and loss severity are separate dimensions: Small Growth has the worse VaR cutoff, but Big Value has the worse average loss beyond the cutoff.</w:t>
      </w:r>
    </w:p>
    <w:p>
      <w:pPr>
        <w:pStyle w:val="Heading2"/>
      </w:pPr>
      <w:r>
        <w:t>Q5 — Distribution Differences Across Periods</w:t>
      </w:r>
    </w:p>
    <w:p>
      <w:r>
        <w:t>Evidence:</w:t>
      </w:r>
    </w:p>
    <w:p>
      <w:r>
        <w:t>Distributional characteristics vary substantially across the three subperiods. The S&amp;P 500's annualized mean excess return and Sharpe ratio fall from 10.49% and 0.753 in 1990–2000 to 0.61% and 0.037 in 2001–2010, then rise to 12.87% and 0.912 in 2011–July 2026. Big Growth follows a similar shift: 11.49% and 0.744, then 0.76% and 0.047, then 14.46% and 0.974. Big Value's volatility rises from 14.01% in 1990–2000 to 21.54% in 2001–2010 and is 19.32% in 2011–July 2026. Its excess kurtosis rises across the reported periods from 0.634 to 1.707 to 3.400. Tail measures also change: Big Value's empirical monthly 1% VaR is -9.77%, -18.57%, and -11.87%, respectively. Small Value's 2011–July 2026 empirical VaR (-11.48%) is less negative than its normal VaR (-12.96%), yet its expected shortfall is -20.41% and excess kurtosis is 2.663.</w:t>
      </w:r>
    </w:p>
    <w:p>
      <w:r>
        <w:t>Interpretation:</w:t>
      </w:r>
    </w:p>
    <w:p>
      <w:r>
        <w:t>The middle subperiod is markedly weaker for the S&amp;P 500 and both Big portfolios on mean and Sharpe measures, while Big Value also shows its worst subperiod VaR there. The later sample improves average and risk-adjusted performance for the S&amp;P 500 and Big Growth, but improvement in central performance does not eliminate tail risk: Big Value and Small Value retain high kurtosis and severe expected shortfall. These shifts are consistent with broad changes in market regimes, including expansion and contraction episodes, but the supplied outputs do not identify causal historical events. Nor do they support stable rankings or a time-invariant distribution.</w:t>
      </w:r>
    </w:p>
    <w:p>
      <w:pPr>
        <w:pStyle w:val="Heading2"/>
      </w:pPr>
      <w:r>
        <w:t>Q6 — S&amp;P 500 versus Fama-French Big Portfolios</w:t>
      </w:r>
    </w:p>
    <w:p>
      <w:r>
        <w:t>Evidence:</w:t>
      </w:r>
    </w:p>
    <w:p>
      <w:r>
        <w:t>Over the full history, Big Growth exceeds the S&amp;P 500 in annualized mean excess return (10.08% versus 9.05%) and Sharpe ratio (0.661 versus 0.619), with slightly higher total volatility (15.25% versus 14.60%) but slightly lower downside volatility (16.41% versus 16.45%). Its empirical 1% VaR (-10.69%) and expected shortfall (-12.62%) are modestly less favorable than the S&amp;P 500's (-10.07% and -13.18%, respectively), with the ordering differing between the threshold and average tail loss. Big Value also has a higher mean excess return than the S&amp;P 500 (10.67% versus 9.05%), but a lower Sharpe ratio (0.586 versus 0.619), higher total volatility (18.22% versus 14.60%), higher downside volatility (20.34% versus 16.45%), more negative empirical VaR (-14.53% versus -10.07%), and more negative expected shortfall (-20.04% versus -13.18%). Subperiod comparisons are not stable: Big Value's Sharpe exceeds the S&amp;P 500's in 1990–2000 (0.893 versus 0.753) and 2001–2010 (0.082 versus 0.037), but trails it in 2011–July 2026 (0.733 versus 0.912); Big Growth trails the S&amp;P 500 in 1990–2000 (0.744 versus 0.753) but exceeds it in the next two periods.</w:t>
      </w:r>
    </w:p>
    <w:p>
      <w:r>
        <w:t>Interpretation:</w:t>
      </w:r>
    </w:p>
    <w:p>
      <w:r>
        <w:t>The S&amp;P 500 resembles Big Growth more closely than Big Value in full-history volatility and tail risk. Big Growth provides the strongest full-history risk-adjusted result of the three, while Big Value's higher mean is paired with substantially greater total, downside, and tail risk. Because the relative Sharpe rankings change across subperiods, the evidence is insufficient to claim that either Big portfolio consistently dominates the S&amp;P 500.</w:t>
      </w:r>
    </w:p>
    <w:p>
      <w:pPr>
        <w:pStyle w:val="Heading2"/>
      </w:pPr>
      <w:r>
        <w:t>Overall Empirical Takeaways</w:t>
      </w:r>
    </w:p>
    <w:p>
      <w:r>
        <w:t>- Full-history return and Sharpe rankings differ: Small Value has the highest mean excess return, whereas Big Growth has the highest Sharpe ratio.</w:t>
      </w:r>
    </w:p>
    <w:p>
      <w:r>
        <w:t>- Risk is asymmetric: downside volatility exceeds total volatility for every asset in every reported sample.</w:t>
      </w:r>
    </w:p>
    <w:p>
      <w:r>
        <w:t>- Multiple measures and the supplied figures jointly indicate non-normal, fat-tailed downside risk, especially for the value portfolios.</w:t>
      </w:r>
    </w:p>
    <w:p>
      <w:r>
        <w:t>- Expected shortfall is materially more negative than empirical 1% VaR and reveals loss severity after the VaR threshold is crossed.</w:t>
      </w:r>
    </w:p>
    <w:p>
      <w:r>
        <w:t>- Performance, volatility, and tail behavior change across subperiods, so neither rankings nor return distributions should be treated as stable.</w:t>
      </w:r>
    </w:p>
    <w:p>
      <w:r>
        <w:t>- Relative to the S&amp;P 500, Big Growth is close in risk and stronger on full-history Sharpe, while Big Value's higher mean comes with distinctly greater downside and tail risk.</w:t>
      </w:r>
    </w:p>
    <w:p>
      <w:pPr>
        <w:pStyle w:val="Heading1"/>
      </w:pPr>
      <w:r>
        <w:t>Reproducibility and Quality Assurance</w:t>
      </w:r>
    </w:p>
    <w:p>
      <w:r>
        <w:t>All numerical outputs were generated using deterministic Python code. The cross-stage quality-assurance stage passed before economic interpretation was generated.</w:t>
      </w:r>
    </w:p>
    <w:p>
      <w:r>
        <w:t>Codex was used only for economic reasoning and interpretation after validated quantitative evidence had been produced.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