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00"/>
        <w:jc w:val="center"/>
        <w:rPr/>
      </w:pPr>
      <w:r>
        <w:rPr>
          <w:b/>
          <w:color w:val="17365D"/>
          <w:sz w:val="52"/>
        </w:rPr>
        <w:t>BUFN741 GROUP ASSIGNMENT 2</w:t>
      </w:r>
    </w:p>
    <w:p>
      <w:pPr>
        <w:pStyle w:val="Normal"/>
        <w:spacing w:before="360" w:after="100"/>
        <w:jc w:val="center"/>
        <w:rPr/>
      </w:pPr>
      <w:r>
        <w:rPr>
          <w:color w:val="2F5597"/>
          <w:sz w:val="34"/>
        </w:rPr>
        <w:t>Multi-Asset Portfolio Optimization:</w:t>
        <w:br/>
        <w:t>Markowitz and Single-Index Models</w:t>
      </w:r>
    </w:p>
    <w:p>
      <w:pPr>
        <w:sectPr>
          <w:footerReference w:type="default" r:id="rId2"/>
          <w:type w:val="nextPage"/>
          <w:pgSz w:w="12240" w:h="15840"/>
          <w:pgMar w:left="1296" w:right="1296" w:gutter="0" w:header="0" w:top="1152" w:footer="504" w:bottom="1152"/>
          <w:pgNumType w:fmt="decimal"/>
          <w:formProt w:val="false"/>
          <w:textDirection w:val="lrTb"/>
          <w:docGrid w:type="default" w:linePitch="360" w:charSpace="0"/>
        </w:sectPr>
        <w:pStyle w:val="Normal"/>
        <w:spacing w:before="720" w:after="100"/>
        <w:jc w:val="center"/>
        <w:rPr/>
      </w:pPr>
      <w:r>
        <w:rPr/>
        <w:t>BUFN741 Advanced Capital Markets</w:t>
        <w:br/>
        <w:t>Group Assignment</w:t>
        <w:br/>
        <w:br/>
        <w:t>2026-09-21</w:t>
      </w:r>
    </w:p>
    <w:p>
      <w:pPr>
        <w:pStyle w:val="Title"/>
        <w:jc w:val="left"/>
        <w:rPr/>
      </w:pPr>
      <w:r>
        <w:rPr/>
        <w:t>Table of Contents</w:t>
      </w:r>
    </w:p>
    <w:sdt>
      <w:sdtPr>
        <w:docPartObj>
          <w:docPartGallery w:val="Table of Contents"/>
          <w:docPartUnique w:val="true"/>
        </w:docPartObj>
      </w:sdtPr>
      <w:sdtContent>
        <w:p>
          <w:pPr>
            <w:pStyle w:val="Contents1"/>
            <w:rPr/>
          </w:pPr>
          <w:r>
            <w:fldChar w:fldCharType="begin"/>
          </w:r>
          <w:r>
            <w:rPr>
              <w:webHidden/>
              <w:rStyle w:val="IndexLink"/>
            </w:rPr>
            <w:instrText xml:space="preserve"> TOC \z \o "1-2" \u \h</w:instrText>
          </w:r>
          <w:r>
            <w:rPr>
              <w:webHidden/>
              <w:rStyle w:val="IndexLink"/>
            </w:rPr>
            <w:fldChar w:fldCharType="separate"/>
          </w:r>
          <w:hyperlink w:anchor="__RefHeading___Toc6661_450176566">
            <w:r>
              <w:rPr>
                <w:webHidden/>
                <w:rStyle w:val="IndexLink"/>
              </w:rPr>
              <w:t>Executive Summary</w:t>
              <w:tab/>
              <w:t>2</w:t>
            </w:r>
          </w:hyperlink>
        </w:p>
        <w:p>
          <w:pPr>
            <w:pStyle w:val="Contents1"/>
            <w:rPr/>
          </w:pPr>
          <w:hyperlink w:anchor="__RefHeading___Toc6663_450176566">
            <w:r>
              <w:rPr>
                <w:webHidden/>
                <w:rStyle w:val="IndexLink"/>
              </w:rPr>
              <w:t>1. Objective and Methodology</w:t>
              <w:tab/>
              <w:t>3</w:t>
            </w:r>
          </w:hyperlink>
        </w:p>
        <w:p>
          <w:pPr>
            <w:pStyle w:val="Contents1"/>
            <w:rPr/>
          </w:pPr>
          <w:hyperlink w:anchor="__RefHeading___Toc6665_450176566">
            <w:r>
              <w:rPr>
                <w:webHidden/>
                <w:rStyle w:val="IndexLink"/>
              </w:rPr>
              <w:t>2. Data and Sample Construction</w:t>
              <w:tab/>
              <w:t>4</w:t>
            </w:r>
          </w:hyperlink>
        </w:p>
        <w:p>
          <w:pPr>
            <w:pStyle w:val="Contents1"/>
            <w:rPr/>
          </w:pPr>
          <w:hyperlink w:anchor="__RefHeading___Toc6667_450176566">
            <w:r>
              <w:rPr>
                <w:webHidden/>
                <w:rStyle w:val="IndexLink"/>
              </w:rPr>
              <w:t>3. Descriptive Statistics and Diversification</w:t>
              <w:tab/>
              <w:t>5</w:t>
            </w:r>
          </w:hyperlink>
        </w:p>
        <w:p>
          <w:pPr>
            <w:pStyle w:val="Contents1"/>
            <w:rPr/>
          </w:pPr>
          <w:hyperlink w:anchor="__RefHeading___Toc6669_450176566">
            <w:r>
              <w:rPr>
                <w:webHidden/>
                <w:rStyle w:val="IndexLink"/>
              </w:rPr>
              <w:t>4. Markowitz Full-Sample Results</w:t>
              <w:tab/>
              <w:t>8</w:t>
            </w:r>
          </w:hyperlink>
        </w:p>
        <w:p>
          <w:pPr>
            <w:pStyle w:val="Contents1"/>
            <w:rPr/>
          </w:pPr>
          <w:hyperlink w:anchor="__RefHeading___Toc6671_450176566">
            <w:r>
              <w:rPr>
                <w:webHidden/>
                <w:rStyle w:val="IndexLink"/>
              </w:rPr>
              <w:t>5. Benchmark Portfolios</w:t>
              <w:tab/>
              <w:t>13</w:t>
            </w:r>
          </w:hyperlink>
        </w:p>
        <w:p>
          <w:pPr>
            <w:pStyle w:val="Contents1"/>
            <w:rPr/>
          </w:pPr>
          <w:hyperlink w:anchor="__RefHeading___Toc6673_450176566">
            <w:r>
              <w:rPr>
                <w:webHidden/>
                <w:rStyle w:val="IndexLink"/>
              </w:rPr>
              <w:t>6. Effect of Portfolio Constraints</w:t>
              <w:tab/>
              <w:t>14</w:t>
            </w:r>
          </w:hyperlink>
        </w:p>
        <w:p>
          <w:pPr>
            <w:pStyle w:val="Contents1"/>
            <w:rPr/>
          </w:pPr>
          <w:hyperlink w:anchor="__RefHeading___Toc6675_450176566">
            <w:r>
              <w:rPr>
                <w:webHidden/>
                <w:rStyle w:val="IndexLink"/>
              </w:rPr>
              <w:t>7. Pre-COVID versus Post-COVID Markowitz Results</w:t>
              <w:tab/>
              <w:t>15</w:t>
            </w:r>
          </w:hyperlink>
        </w:p>
        <w:p>
          <w:pPr>
            <w:pStyle w:val="Contents1"/>
            <w:rPr/>
          </w:pPr>
          <w:hyperlink w:anchor="__RefHeading___Toc6677_450176566">
            <w:r>
              <w:rPr>
                <w:webHidden/>
                <w:rStyle w:val="IndexLink"/>
              </w:rPr>
              <w:t>8. Single-Index Model Estimation</w:t>
              <w:tab/>
              <w:t>18</w:t>
            </w:r>
          </w:hyperlink>
        </w:p>
        <w:p>
          <w:pPr>
            <w:pStyle w:val="Contents1"/>
            <w:rPr/>
          </w:pPr>
          <w:hyperlink w:anchor="__RefHeading___Toc6679_450176566">
            <w:r>
              <w:rPr>
                <w:webHidden/>
                <w:rStyle w:val="IndexLink"/>
              </w:rPr>
              <w:t>9. SIM Portfolio Optimization</w:t>
              <w:tab/>
              <w:t>20</w:t>
            </w:r>
          </w:hyperlink>
        </w:p>
        <w:p>
          <w:pPr>
            <w:pStyle w:val="Contents1"/>
            <w:rPr/>
          </w:pPr>
          <w:hyperlink w:anchor="__RefHeading___Toc6681_450176566">
            <w:r>
              <w:rPr>
                <w:webHidden/>
                <w:rStyle w:val="IndexLink"/>
              </w:rPr>
              <w:t>10. Markowitz versus SIM: Covariance-Only Experiment</w:t>
              <w:tab/>
              <w:t>24</w:t>
            </w:r>
          </w:hyperlink>
        </w:p>
        <w:p>
          <w:pPr>
            <w:pStyle w:val="Contents1"/>
            <w:rPr/>
          </w:pPr>
          <w:hyperlink w:anchor="__RefHeading___Toc6683_450176566">
            <w:r>
              <w:rPr>
                <w:webHidden/>
                <w:rStyle w:val="IndexLink"/>
              </w:rPr>
              <w:t>11. Complete Markowitz versus SIM Comparison</w:t>
              <w:tab/>
              <w:t>27</w:t>
            </w:r>
          </w:hyperlink>
        </w:p>
        <w:p>
          <w:pPr>
            <w:pStyle w:val="Contents1"/>
            <w:rPr/>
          </w:pPr>
          <w:hyperlink w:anchor="__RefHeading___Toc6685_450176566">
            <w:r>
              <w:rPr>
                <w:webHidden/>
                <w:rStyle w:val="IndexLink"/>
              </w:rPr>
              <w:t>12. Covariance-Model Diagnostics</w:t>
              <w:tab/>
              <w:t>30</w:t>
            </w:r>
          </w:hyperlink>
        </w:p>
        <w:p>
          <w:pPr>
            <w:pStyle w:val="Contents1"/>
            <w:rPr/>
          </w:pPr>
          <w:hyperlink w:anchor="__RefHeading___Toc6687_450176566">
            <w:r>
              <w:rPr>
                <w:webHidden/>
                <w:rStyle w:val="IndexLink"/>
              </w:rPr>
              <w:t>13. Answers to Assignment Analysis Questions</w:t>
              <w:tab/>
              <w:t>31</w:t>
            </w:r>
          </w:hyperlink>
        </w:p>
        <w:p>
          <w:pPr>
            <w:pStyle w:val="Contents2"/>
            <w:tabs>
              <w:tab w:val="clear" w:pos="9365"/>
              <w:tab w:val="right" w:pos="9648" w:leader="dot"/>
            </w:tabs>
            <w:rPr/>
          </w:pPr>
          <w:hyperlink w:anchor="__RefHeading___Toc6689_450176566">
            <w:r>
              <w:rPr>
                <w:webHidden/>
                <w:rStyle w:val="IndexLink"/>
              </w:rPr>
              <w:t>Question 1. What diversification benefit comes from bonds, gold, oil, and broad commodities?</w:t>
              <w:tab/>
              <w:t>31</w:t>
            </w:r>
          </w:hyperlink>
        </w:p>
        <w:p>
          <w:pPr>
            <w:pStyle w:val="Contents2"/>
            <w:tabs>
              <w:tab w:val="clear" w:pos="9365"/>
              <w:tab w:val="right" w:pos="9648" w:leader="dot"/>
            </w:tabs>
            <w:rPr/>
          </w:pPr>
          <w:hyperlink w:anchor="__RefHeading___Toc6691_450176566">
            <w:r>
              <w:rPr>
                <w:webHidden/>
                <w:rStyle w:val="IndexLink"/>
              </w:rPr>
              <w:t>Question 2. What is the effect of allowing short sales?</w:t>
              <w:tab/>
              <w:t>31</w:t>
            </w:r>
          </w:hyperlink>
        </w:p>
        <w:p>
          <w:pPr>
            <w:pStyle w:val="Contents2"/>
            <w:tabs>
              <w:tab w:val="clear" w:pos="9365"/>
              <w:tab w:val="right" w:pos="9648" w:leader="dot"/>
            </w:tabs>
            <w:rPr/>
          </w:pPr>
          <w:hyperlink w:anchor="__RefHeading___Toc6693_450176566">
            <w:r>
              <w:rPr>
                <w:webHidden/>
                <w:rStyle w:val="IndexLink"/>
              </w:rPr>
              <w:t>Question 3. What is the effect of ±20% bounds?</w:t>
              <w:tab/>
              <w:t>31</w:t>
            </w:r>
          </w:hyperlink>
        </w:p>
        <w:p>
          <w:pPr>
            <w:pStyle w:val="Contents2"/>
            <w:tabs>
              <w:tab w:val="clear" w:pos="9365"/>
              <w:tab w:val="right" w:pos="9648" w:leader="dot"/>
            </w:tabs>
            <w:rPr/>
          </w:pPr>
          <w:hyperlink w:anchor="__RefHeading___Toc6695_450176566">
            <w:r>
              <w:rPr>
                <w:webHidden/>
                <w:rStyle w:val="IndexLink"/>
              </w:rPr>
              <w:t>Question 4. How do pre- and post-COVID covariance structures differ?</w:t>
              <w:tab/>
              <w:t>31</w:t>
            </w:r>
          </w:hyperlink>
        </w:p>
        <w:p>
          <w:pPr>
            <w:pStyle w:val="Contents2"/>
            <w:tabs>
              <w:tab w:val="clear" w:pos="9365"/>
              <w:tab w:val="right" w:pos="9648" w:leader="dot"/>
            </w:tabs>
            <w:rPr/>
          </w:pPr>
          <w:hyperlink w:anchor="__RefHeading___Toc6697_450176566">
            <w:r>
              <w:rPr>
                <w:webHidden/>
                <w:rStyle w:val="IndexLink"/>
              </w:rPr>
              <w:t>Question 5. How sensitive are tangency and GMV weights to expected returns?</w:t>
              <w:tab/>
              <w:t>31</w:t>
            </w:r>
          </w:hyperlink>
        </w:p>
        <w:p>
          <w:pPr>
            <w:pStyle w:val="Contents2"/>
            <w:tabs>
              <w:tab w:val="clear" w:pos="9365"/>
              <w:tab w:val="right" w:pos="9648" w:leader="dot"/>
            </w:tabs>
            <w:rPr/>
          </w:pPr>
          <w:hyperlink w:anchor="__RefHeading___Toc6699_450176566">
            <w:r>
              <w:rPr>
                <w:webHidden/>
                <w:rStyle w:val="IndexLink"/>
              </w:rPr>
              <w:t>Question 6. How good is the SIM approximation?</w:t>
              <w:tab/>
              <w:t>31</w:t>
            </w:r>
          </w:hyperlink>
        </w:p>
        <w:p>
          <w:pPr>
            <w:pStyle w:val="Contents2"/>
            <w:tabs>
              <w:tab w:val="clear" w:pos="9365"/>
              <w:tab w:val="right" w:pos="9648" w:leader="dot"/>
            </w:tabs>
            <w:rPr/>
          </w:pPr>
          <w:hyperlink w:anchor="__RefHeading___Toc6701_450176566">
            <w:r>
              <w:rPr>
                <w:webHidden/>
                <w:rStyle w:val="IndexLink"/>
              </w:rPr>
              <w:t>Question 7. Where are the SIM and Markowitz frontiers relative to each other?</w:t>
              <w:tab/>
              <w:t>31</w:t>
            </w:r>
          </w:hyperlink>
        </w:p>
        <w:p>
          <w:pPr>
            <w:pStyle w:val="Contents2"/>
            <w:tabs>
              <w:tab w:val="clear" w:pos="9365"/>
              <w:tab w:val="right" w:pos="9648" w:leader="dot"/>
            </w:tabs>
            <w:rPr/>
          </w:pPr>
          <w:hyperlink w:anchor="__RefHeading___Toc6703_450176566">
            <w:r>
              <w:rPr>
                <w:webHidden/>
                <w:rStyle w:val="IndexLink"/>
              </w:rPr>
              <w:t>Question 8. What are the practical limitations of SPY as the sole common factor?</w:t>
              <w:tab/>
              <w:t>31</w:t>
            </w:r>
          </w:hyperlink>
        </w:p>
        <w:p>
          <w:pPr>
            <w:pStyle w:val="Contents1"/>
            <w:rPr/>
          </w:pPr>
          <w:hyperlink w:anchor="__RefHeading___Toc6705_450176566">
            <w:r>
              <w:rPr>
                <w:webHidden/>
                <w:rStyle w:val="IndexLink"/>
              </w:rPr>
              <w:t>14. Practical Interpretation and Limitations</w:t>
              <w:tab/>
              <w:t>32</w:t>
            </w:r>
          </w:hyperlink>
        </w:p>
        <w:p>
          <w:pPr>
            <w:pStyle w:val="Contents1"/>
            <w:rPr/>
          </w:pPr>
          <w:hyperlink w:anchor="__RefHeading___Toc6707_450176566">
            <w:r>
              <w:rPr>
                <w:webHidden/>
                <w:rStyle w:val="IndexLink"/>
              </w:rPr>
              <w:t>15. Conclusion</w:t>
              <w:tab/>
              <w:t>33</w:t>
            </w:r>
          </w:hyperlink>
        </w:p>
        <w:p>
          <w:pPr>
            <w:pStyle w:val="Contents1"/>
            <w:rPr/>
          </w:pPr>
          <w:hyperlink w:anchor="__RefHeading___Toc6709_450176566">
            <w:r>
              <w:rPr>
                <w:webHidden/>
                <w:rStyle w:val="IndexLink"/>
              </w:rPr>
              <w:t>Appendix A. Provenance and Reproducibility</w:t>
              <w:tab/>
              <w:t>34</w:t>
            </w:r>
          </w:hyperlink>
          <w:r>
            <w:rPr>
              <w:rStyle w:val="IndexLink"/>
            </w:rPr>
            <w:fldChar w:fldCharType="end"/>
          </w:r>
        </w:p>
      </w:sdtContent>
    </w:sdt>
    <w:p>
      <w:pPr>
        <w:pStyle w:val="Normal"/>
        <w:widowControl/>
        <w:bidi w:val="0"/>
        <w:spacing w:lineRule="auto" w:line="268" w:before="0" w:after="100"/>
        <w:jc w:val="left"/>
        <w:rPr>
          <w:rFonts w:ascii="Arial" w:hAnsi="Arial"/>
          <w:sz w:val="21"/>
        </w:rPr>
      </w:pPr>
      <w:r>
        <w:rPr>
          <w:sz w:val="21"/>
        </w:rPr>
      </w:r>
      <w:r>
        <w:br w:type="page"/>
      </w:r>
    </w:p>
    <w:p>
      <w:pPr>
        <w:pStyle w:val="Heading1"/>
        <w:rPr/>
      </w:pPr>
      <w:bookmarkStart w:id="0" w:name="__RefHeading___Toc6661_450176566"/>
      <w:bookmarkEnd w:id="0"/>
      <w:r>
        <w:rPr/>
        <w:t>Executive Summary</w:t>
      </w:r>
    </w:p>
    <w:p>
      <w:pPr>
        <w:pStyle w:val="ListBullet"/>
        <w:numPr>
          <w:ilvl w:val="0"/>
          <w:numId w:val="1"/>
        </w:numPr>
        <w:rPr/>
      </w:pPr>
      <w:r>
        <w:rPr/>
        <w:t>Adding bonds reduced long-only GMV volatility from 15.17% for equities alone to 4.53%. Adding gold raised the tangency Sharpe from 0.475 to 0.568; adding oil and DBC reduced GMV volatility further to 4.29% but did not improve the saved tangency Sharpe at displayed precision.</w:t>
      </w:r>
    </w:p>
    <w:p>
      <w:pPr>
        <w:pStyle w:val="ListBullet"/>
        <w:numPr>
          <w:ilvl w:val="0"/>
          <w:numId w:val="1"/>
        </w:numPr>
        <w:rPr/>
      </w:pPr>
      <w:r>
        <w:rPr/>
        <w:t>The unrestricted full-sample tangency is NONATTAINED. Because the GMV expected return is below the 4.50% CAL rate, the Sharpe supremum 1.051 is approached asymptotically; no finite tangency fund or attained CAL exists.</w:t>
      </w:r>
    </w:p>
    <w:p>
      <w:pPr>
        <w:pStyle w:val="ListBullet"/>
        <w:numPr>
          <w:ilvl w:val="0"/>
          <w:numId w:val="1"/>
        </w:numPr>
        <w:rPr/>
      </w:pPr>
      <w:r>
        <w:rPr/>
        <w:t>Long-only and ±20% bounds materially reduce gross exposure and concentrate the solution in a more implementable region, while Specification C places several assets at its +20% ceiling.</w:t>
      </w:r>
    </w:p>
    <w:p>
      <w:pPr>
        <w:pStyle w:val="ListBullet"/>
        <w:numPr>
          <w:ilvl w:val="0"/>
          <w:numId w:val="1"/>
        </w:numPr>
        <w:rPr/>
      </w:pPr>
      <w:r>
        <w:rPr/>
        <w:t>Under Specification B, post-COVID GMV volatility rose from 3.50% to 5.36%; the tangency Sharpe rose from 0.520 to 0.980. The post-COVID estimate uses only 80 monthly observations.</w:t>
      </w:r>
    </w:p>
    <w:p>
      <w:pPr>
        <w:pStyle w:val="ListBullet"/>
        <w:numPr>
          <w:ilvl w:val="0"/>
          <w:numId w:val="1"/>
        </w:numPr>
        <w:rPr/>
      </w:pPr>
      <w:r>
        <w:rPr/>
        <w:t>SIM attributes every cross-asset covariance to exposure to the SPY-minus-RF factor. The lowest single-factor R² values occur for GLD (0.006), TLT (0.006), AGG (0.061).</w:t>
      </w:r>
    </w:p>
    <w:p>
      <w:pPr>
        <w:pStyle w:val="ListBullet"/>
        <w:numPr>
          <w:ilvl w:val="0"/>
          <w:numId w:val="1"/>
        </w:numPr>
        <w:rPr/>
      </w:pPr>
      <w:r>
        <w:rPr/>
        <w:t>In the covariance-only experiment, Specification A has lower Markowitz volatility at 33 of 80 common targets and lower SIM volatility at 47; under B the corresponding counts are 2 and 78. The crossings rule out a single frontier winner.</w:t>
      </w:r>
    </w:p>
    <w:p>
      <w:pPr>
        <w:pStyle w:val="Heading1"/>
        <w:rPr/>
      </w:pPr>
      <w:bookmarkStart w:id="1" w:name="__RefHeading___Toc6663_450176566"/>
      <w:bookmarkEnd w:id="1"/>
      <w:r>
        <w:rPr/>
        <w:t>1. Objective and Methodology</w:t>
      </w:r>
    </w:p>
    <w:p>
      <w:pPr>
        <w:pStyle w:val="Equation"/>
        <w:rPr/>
      </w:pPr>
      <w:r>
        <w:rPr/>
        <w:t>E(rₚ) = w′μ</w:t>
      </w:r>
    </w:p>
    <w:p>
      <w:pPr>
        <w:pStyle w:val="Equation"/>
        <w:rPr/>
      </w:pPr>
      <w:r>
        <w:rPr/>
        <w:t>Var(rₚ) = w′Σw</w:t>
      </w:r>
    </w:p>
    <w:p>
      <w:pPr>
        <w:pStyle w:val="Equation"/>
        <w:rPr/>
      </w:pPr>
      <w:r>
        <w:rPr/>
        <w:t>Sharpe(rₚ) = [E(rₚ) − r_f] / σₚ</w:t>
      </w:r>
    </w:p>
    <w:p>
      <w:pPr>
        <w:pStyle w:val="Normal"/>
        <w:rPr/>
      </w:pPr>
      <w:r>
        <w:rPr/>
        <w:t>The investable universe is SPY, EFA, EEM, TLT, AGG, GLD, USO, and DBC. The analysis uses monthly simple total returns from Yahoo Finance adjusted prices. Fama–French monthly RF observations support SIM excess-return regressions; the fixed 4.5% annual rate supports CAL and tangency calculations.</w:t>
      </w:r>
    </w:p>
    <w:p>
      <w:pPr>
        <w:pStyle w:val="Normal"/>
        <w:rPr/>
      </w:pPr>
      <w:r>
        <w:rPr/>
        <w:t>All estimation and optimization are monthly. Arithmetic means and variances are multiplied by 12 for presentation, while standard deviations and Sharpe ratios are multiplied by sqrt(12). Specification A is unrestricted long/short with weights summing to one. B is long-only. C constrains every weight to [-20%, +20%]. Markowitz uses the full sample covariance matrix. SIM uses beta beta' times the variance of SPY minus aligned FF RF, plus diagonal residual variances.</w:t>
      </w:r>
    </w:p>
    <w:p>
      <w:pPr>
        <w:pStyle w:val="Heading1"/>
        <w:rPr/>
      </w:pPr>
      <w:bookmarkStart w:id="2" w:name="__RefHeading___Toc6665_450176566"/>
      <w:bookmarkEnd w:id="2"/>
      <w:r>
        <w:rPr/>
        <w:t>2. Data and Sample Construction</w:t>
      </w:r>
    </w:p>
    <w:p>
      <w:pPr>
        <w:pStyle w:val="ListBullet"/>
        <w:numPr>
          <w:ilvl w:val="0"/>
          <w:numId w:val="1"/>
        </w:numPr>
        <w:rPr/>
      </w:pPr>
      <w:r>
        <w:rPr/>
        <w:t>Markowitz full sample: 2006-05 through 2026-08, N=244.</w:t>
      </w:r>
    </w:p>
    <w:p>
      <w:pPr>
        <w:pStyle w:val="ListBullet"/>
        <w:numPr>
          <w:ilvl w:val="0"/>
          <w:numId w:val="1"/>
        </w:numPr>
        <w:rPr/>
      </w:pPr>
      <w:r>
        <w:rPr/>
        <w:t>Pre-COVID: 2006-05 through 2019-12, N=164.</w:t>
      </w:r>
    </w:p>
    <w:p>
      <w:pPr>
        <w:pStyle w:val="ListBullet"/>
        <w:numPr>
          <w:ilvl w:val="0"/>
          <w:numId w:val="1"/>
        </w:numPr>
        <w:rPr/>
      </w:pPr>
      <w:r>
        <w:rPr/>
        <w:t>Post-COVID: 2020-01 through 2026-08, N=80.</w:t>
      </w:r>
    </w:p>
    <w:p>
      <w:pPr>
        <w:pStyle w:val="ListBullet"/>
        <w:numPr>
          <w:ilvl w:val="0"/>
          <w:numId w:val="1"/>
        </w:numPr>
        <w:rPr/>
      </w:pPr>
      <w:r>
        <w:rPr/>
        <w:t>SIM common sample: 2006-05 through 2026-07, N=243.</w:t>
      </w:r>
    </w:p>
    <w:p>
      <w:pPr>
        <w:pStyle w:val="ListBullet"/>
        <w:numPr>
          <w:ilvl w:val="0"/>
          <w:numId w:val="1"/>
        </w:numPr>
        <w:rPr/>
      </w:pPr>
      <w:r>
        <w:rPr/>
        <w:t>Markowitz comparison sample: 2006-05 through 2026-07, N=243.</w:t>
      </w:r>
    </w:p>
    <w:p>
      <w:pPr>
        <w:pStyle w:val="Normal"/>
        <w:rPr/>
      </w:pPr>
      <w:r>
        <w:rPr/>
        <w:t>Yahoo ETF returns extend through August 2026. Available FF RF ends July 2026, producing an accepted 1-month lag under the configured maximum of 2. Main Markowitz analysis retains August. SIM and direct comparisons use the identical May 2006–July 2026 intersection.</w:t>
      </w:r>
    </w:p>
    <w:p>
      <w:pPr>
        <w:pStyle w:val="Heading1"/>
        <w:rPr/>
      </w:pPr>
      <w:bookmarkStart w:id="3" w:name="__RefHeading___Toc6667_450176566"/>
      <w:bookmarkEnd w:id="3"/>
      <w:r>
        <w:rPr/>
        <w:t>3. Descriptive Statistics and Diversification</w:t>
      </w:r>
    </w:p>
    <w:p>
      <w:pPr>
        <w:pStyle w:val="Caption1"/>
        <w:jc w:val="center"/>
        <w:rPr/>
      </w:pPr>
      <w:r>
        <w:rPr/>
        <w:t>Table 1. Full-sample annualized asset statistics</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2412"/>
        <w:gridCol w:w="2412"/>
        <w:gridCol w:w="2412"/>
        <w:gridCol w:w="2411"/>
      </w:tblGrid>
      <w:tr>
        <w:trPr>
          <w:tblHeader w:val="true"/>
          <w:cantSplit w:val="true"/>
        </w:trPr>
        <w:tc>
          <w:tcPr>
            <w:tcW w:w="2412"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Asset</w:t>
            </w:r>
          </w:p>
        </w:tc>
        <w:tc>
          <w:tcPr>
            <w:tcW w:w="2412"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Arithmetic mean</w:t>
            </w:r>
          </w:p>
        </w:tc>
        <w:tc>
          <w:tcPr>
            <w:tcW w:w="2412"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Standard deviation</w:t>
            </w:r>
          </w:p>
        </w:tc>
        <w:tc>
          <w:tcPr>
            <w:tcW w:w="2411"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Variance</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SPY</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11.71%</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15.19%</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0.023064</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EFA</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6.69%</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17.02%</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0.028971</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EEM</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7.43%</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20.88%</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0.043617</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4.03%</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13.81%</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0.019067</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AGG</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3.19%</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4.54%</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0.002057</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GLD</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10.55%</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17.30%</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0.029932</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USO</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0.66%</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37.76%</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0.142614</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DBC</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3.93%</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18.81%</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0.035384</w:t>
            </w:r>
          </w:p>
        </w:tc>
      </w:tr>
    </w:tbl>
    <w:p>
      <w:pPr>
        <w:sectPr>
          <w:footerReference w:type="default" r:id="rId3"/>
          <w:type w:val="nextPage"/>
          <w:pgSz w:w="12240" w:h="15840"/>
          <w:pgMar w:left="1296" w:right="1296" w:gutter="0" w:header="0" w:top="1152" w:footer="504" w:bottom="1152"/>
          <w:pgNumType w:start="1" w:fmt="decimal"/>
          <w:formProt w:val="false"/>
          <w:textDirection w:val="lrTb"/>
          <w:docGrid w:type="default" w:linePitch="360" w:charSpace="0"/>
        </w:sectPr>
        <w:pStyle w:val="Normal"/>
        <w:spacing w:before="0" w:after="20"/>
        <w:rPr/>
      </w:pPr>
      <w:r>
        <w:rPr/>
      </w:r>
    </w:p>
    <w:p>
      <w:pPr>
        <w:pStyle w:val="Caption1"/>
        <w:jc w:val="center"/>
        <w:rPr/>
      </w:pPr>
      <w:r>
        <w:rPr/>
        <w:t>Table 2. Full-sample correlation matrix</w:t>
      </w:r>
    </w:p>
    <w:tbl>
      <w:tblPr>
        <w:tblStyle w:val="TableGrid"/>
        <w:tblW w:w="1368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519"/>
        <w:gridCol w:w="1520"/>
        <w:gridCol w:w="1520"/>
        <w:gridCol w:w="1520"/>
        <w:gridCol w:w="1521"/>
        <w:gridCol w:w="1520"/>
        <w:gridCol w:w="1520"/>
        <w:gridCol w:w="1520"/>
        <w:gridCol w:w="1518"/>
      </w:tblGrid>
      <w:tr>
        <w:trPr>
          <w:tblHeader w:val="true"/>
          <w:cantSplit w:val="true"/>
        </w:trPr>
        <w:tc>
          <w:tcPr>
            <w:tcW w:w="1519"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Asset</w:t>
            </w:r>
          </w:p>
        </w:tc>
        <w:tc>
          <w:tcPr>
            <w:tcW w:w="1520"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SPY</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EFA</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EEM</w:t>
            </w:r>
          </w:p>
        </w:tc>
        <w:tc>
          <w:tcPr>
            <w:tcW w:w="1521"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TLT</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AGG</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GLD</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USO</w:t>
            </w:r>
          </w:p>
        </w:tc>
        <w:tc>
          <w:tcPr>
            <w:tcW w:w="151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DBC</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SPY</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1.00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0.87</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0.75</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-0.08</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0.25</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0.08</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0.33</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0.44</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EFA</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0.87</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0.86</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-0.04</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0.33</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0.19</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0.37</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0.50</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EEM</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0.75</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0.86</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-0.05</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0.29</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0.31</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0.35</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0.52</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TLT</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-0.08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-0.04</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-0.05</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0.83</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0.26</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-0.36</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-0.32</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AGG</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0.25</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0.29</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0.37</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-0.20</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-0.09</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GLD</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0.08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0.19</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0.31</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0.26</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0.37</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0.04</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0.30</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USO</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0.33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0.37</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0.35</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-0.36</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0.04</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0.85</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DBC</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0.44</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0.52</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-0.32</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-0.09</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0.85</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w:t>
            </w:r>
          </w:p>
        </w:tc>
      </w:tr>
    </w:tbl>
    <w:p>
      <w:pPr>
        <w:sectPr>
          <w:footerReference w:type="default" r:id="rId4"/>
          <w:type w:val="nextPage"/>
          <w:pgSz w:orient="landscape" w:w="15840" w:h="12240"/>
          <w:pgMar w:left="1080" w:right="1080" w:gutter="0" w:header="0" w:top="1152" w:footer="504" w:bottom="1152"/>
          <w:pgNumType w:fmt="decimal"/>
          <w:formProt w:val="false"/>
          <w:textDirection w:val="lrTb"/>
          <w:docGrid w:type="default" w:linePitch="360" w:charSpace="0"/>
        </w:sectPr>
        <w:pStyle w:val="Normal"/>
        <w:spacing w:before="0" w:after="20"/>
        <w:rPr/>
      </w:pPr>
      <w:r>
        <w:rPr/>
      </w:r>
    </w:p>
    <w:p>
      <w:pPr>
        <w:pStyle w:val="Normal"/>
        <w:rPr/>
      </w:pPr>
      <w:r>
        <w:rPr/>
        <w:t>The largest positive correlations are SPY/EFA=0.865, EFA/EEM=0.858, USO/DBC=0.851, TLT/AGG=0.831. The lowest correlations, which provide the clearest pairwise diversification evidence, are TLT/USO=-0.356, TLT/DBC=-0.323, AGG/USO=-0.197, AGG/DBC=-0.088.</w:t>
      </w:r>
    </w:p>
    <w:p>
      <w:pPr>
        <w:pStyle w:val="Caption1"/>
        <w:jc w:val="center"/>
        <w:rPr/>
      </w:pPr>
      <w:r>
        <w:rPr/>
        <w:t>Table 3. Incremental diversification under Specification B</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2412"/>
        <w:gridCol w:w="2412"/>
        <w:gridCol w:w="2412"/>
        <w:gridCol w:w="2411"/>
      </w:tblGrid>
      <w:tr>
        <w:trPr>
          <w:tblHeader w:val="true"/>
          <w:cantSplit w:val="true"/>
        </w:trPr>
        <w:tc>
          <w:tcPr>
            <w:tcW w:w="2412"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Universe</w:t>
            </w:r>
          </w:p>
        </w:tc>
        <w:tc>
          <w:tcPr>
            <w:tcW w:w="2412"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GMV volatility</w:t>
            </w:r>
          </w:p>
        </w:tc>
        <w:tc>
          <w:tcPr>
            <w:tcW w:w="2412"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Tangency status</w:t>
            </w:r>
          </w:p>
        </w:tc>
        <w:tc>
          <w:tcPr>
            <w:tcW w:w="2411"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Tangency Sharpe</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equities</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15.17%</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0.475</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equities + bonds</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4.53%</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0.475</w:t>
            </w:r>
          </w:p>
        </w:tc>
      </w:tr>
      <w:tr>
        <w:trPr>
          <w:cantSplit w:val="true"/>
        </w:trPr>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equities + bonds + gold</w:t>
            </w:r>
          </w:p>
        </w:tc>
        <w:tc>
          <w:tcPr>
            <w:tcW w:w="2412"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4.53%</w:t>
            </w:r>
          </w:p>
        </w:tc>
        <w:tc>
          <w:tcPr>
            <w:tcW w:w="2412"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241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0.568</w:t>
            </w:r>
          </w:p>
        </w:tc>
      </w:tr>
      <w:tr>
        <w:trPr>
          <w:cantSplit w:val="true"/>
        </w:trPr>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all assets</w:t>
            </w:r>
          </w:p>
        </w:tc>
        <w:tc>
          <w:tcPr>
            <w:tcW w:w="2412"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4.29%</w:t>
            </w:r>
          </w:p>
        </w:tc>
        <w:tc>
          <w:tcPr>
            <w:tcW w:w="2412"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241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0.568</w:t>
            </w:r>
          </w:p>
        </w:tc>
      </w:tr>
    </w:tbl>
    <w:p>
      <w:pPr>
        <w:pStyle w:val="Normal"/>
        <w:spacing w:before="0" w:after="20"/>
        <w:rPr/>
      </w:pPr>
      <w:r>
        <w:rPr/>
      </w:r>
    </w:p>
    <w:p>
      <w:pPr>
        <w:pStyle w:val="Normal"/>
        <w:keepNext w:val="true"/>
        <w:jc w:val="center"/>
        <w:rPr/>
      </w:pPr>
      <w:r>
        <w:rPr/>
        <w:drawing>
          <wp:inline distT="0" distB="0" distL="0" distR="0">
            <wp:extent cx="5715000" cy="23247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5715000" cy="2324735"/>
                    </a:xfrm>
                    <a:prstGeom prst="rect">
                      <a:avLst/>
                    </a:prstGeom>
                  </pic:spPr>
                </pic:pic>
              </a:graphicData>
            </a:graphic>
          </wp:inline>
        </w:drawing>
      </w:r>
    </w:p>
    <w:p>
      <w:pPr>
        <w:pStyle w:val="Caption1"/>
        <w:jc w:val="center"/>
        <w:rPr/>
      </w:pPr>
      <w:r>
        <w:rPr/>
        <w:t>Figure 1. Incremental diversification across asset subsets.</w:t>
      </w:r>
    </w:p>
    <w:p>
      <w:pPr>
        <w:pStyle w:val="Heading1"/>
        <w:rPr/>
      </w:pPr>
      <w:bookmarkStart w:id="4" w:name="__RefHeading___Toc6669_450176566"/>
      <w:bookmarkEnd w:id="4"/>
      <w:r>
        <w:rPr/>
        <w:t>4. Markowitz Full-Sample Results</w:t>
      </w:r>
    </w:p>
    <w:p>
      <w:pPr>
        <w:pStyle w:val="Caption1"/>
        <w:jc w:val="center"/>
        <w:rPr/>
      </w:pPr>
      <w:r>
        <w:rPr/>
        <w:t>Table 4. Markowitz GMV and tangency results</w:t>
      </w:r>
    </w:p>
    <w:tbl>
      <w:tblPr>
        <w:tblStyle w:val="TableGrid"/>
        <w:tblW w:w="9646"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378"/>
        <w:gridCol w:w="1377"/>
        <w:gridCol w:w="1379"/>
        <w:gridCol w:w="1377"/>
        <w:gridCol w:w="1379"/>
        <w:gridCol w:w="1377"/>
        <w:gridCol w:w="1378"/>
      </w:tblGrid>
      <w:tr>
        <w:trPr>
          <w:tblHeader w:val="true"/>
          <w:cantSplit w:val="true"/>
        </w:trPr>
        <w:tc>
          <w:tcPr>
            <w:tcW w:w="137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Model/specification</w:t>
            </w:r>
          </w:p>
        </w:tc>
        <w:tc>
          <w:tcPr>
            <w:tcW w:w="137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Status</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c>
          <w:tcPr>
            <w:tcW w:w="137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Gross exposure</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A</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2.49%</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2.83%</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-0.712</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2.007</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A</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NONATTAINED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supremum 1.051</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3.17%</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4.29%</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-0.309</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11.27%</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11.92%</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0.568</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6.64%</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7.94%</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0.270</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1.388</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Markowitz 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8.40%</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11.46%</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0.340</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1.366</w:t>
            </w:r>
          </w:p>
        </w:tc>
      </w:tr>
    </w:tbl>
    <w:p>
      <w:pPr>
        <w:sectPr>
          <w:footerReference w:type="default" r:id="rId6"/>
          <w:type w:val="nextPage"/>
          <w:pgSz w:w="12240" w:h="15840"/>
          <w:pgMar w:left="1296" w:right="1296" w:gutter="0" w:header="0" w:top="1152" w:footer="504" w:bottom="1152"/>
          <w:pgNumType w:fmt="decimal"/>
          <w:formProt w:val="false"/>
          <w:textDirection w:val="lrTb"/>
          <w:docGrid w:type="default" w:linePitch="360" w:charSpace="0"/>
        </w:sectPr>
        <w:pStyle w:val="Normal"/>
        <w:spacing w:before="0" w:after="20"/>
        <w:rPr/>
      </w:pPr>
      <w:r>
        <w:rPr/>
      </w:r>
    </w:p>
    <w:p>
      <w:pPr>
        <w:pStyle w:val="Caption1"/>
        <w:jc w:val="center"/>
        <w:rPr/>
      </w:pPr>
      <w:r>
        <w:rPr/>
        <w:t>Table 5. Markowitz portfolio weights</w:t>
      </w:r>
    </w:p>
    <w:tbl>
      <w:tblPr>
        <w:tblStyle w:val="TableGrid"/>
        <w:tblW w:w="1368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368"/>
        <w:gridCol w:w="1368"/>
        <w:gridCol w:w="1368"/>
        <w:gridCol w:w="1368"/>
        <w:gridCol w:w="1368"/>
        <w:gridCol w:w="1368"/>
        <w:gridCol w:w="1368"/>
        <w:gridCol w:w="1368"/>
        <w:gridCol w:w="1368"/>
        <w:gridCol w:w="1366"/>
      </w:tblGrid>
      <w:tr>
        <w:trPr>
          <w:tblHeader w:val="true"/>
          <w:cantSplit w:val="true"/>
        </w:trPr>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Model/specification</w:t>
            </w:r>
          </w:p>
        </w:tc>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Portfolio</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SPY</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EFA</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EEM</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TLT</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AGG</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GLD</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USO</w:t>
            </w:r>
          </w:p>
        </w:tc>
        <w:tc>
          <w:tcPr>
            <w:tcW w:w="136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DBC</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Markowitz A</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-12.5%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-32.5%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142.6%</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-2.6%</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4.0%</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Markowitz B</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94.0%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1.7%</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4.3%</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Markowitz B</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62.1%</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37.9%</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Markowitz C</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-17.6%</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19.4%</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-1.9%</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Markowitz C</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13.1%</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19.5%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-18.3%</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r>
    </w:tbl>
    <w:p>
      <w:pPr>
        <w:sectPr>
          <w:footerReference w:type="default" r:id="rId7"/>
          <w:type w:val="nextPage"/>
          <w:pgSz w:orient="landscape" w:w="15840" w:h="12240"/>
          <w:pgMar w:left="1080" w:right="1080" w:gutter="0" w:header="0" w:top="1152" w:footer="504" w:bottom="1152"/>
          <w:pgNumType w:fmt="decimal"/>
          <w:formProt w:val="false"/>
          <w:textDirection w:val="lrTb"/>
          <w:docGrid w:type="default" w:linePitch="360" w:charSpace="0"/>
        </w:sectPr>
        <w:pStyle w:val="Normal"/>
        <w:spacing w:before="0" w:after="20"/>
        <w:rPr/>
      </w:pPr>
      <w:r>
        <w:rPr/>
      </w:r>
    </w:p>
    <w:p>
      <w:pPr>
        <w:pStyle w:val="Normal"/>
        <w:rPr/>
      </w:pPr>
      <w:r>
        <w:rPr/>
        <w:t>Specification A is an economic NONATTAINED case, not a solver failure. Its GMV return is below the risk-free rate, so normalized finite tangency weights do not exist. B removes short sales. C allows limited shorts but its eight +20% caps make the feasible set tight and produce binding ceilings.</w:t>
      </w:r>
    </w:p>
    <w:p>
      <w:pPr>
        <w:pStyle w:val="Normal"/>
        <w:keepNext w:val="true"/>
        <w:jc w:val="center"/>
        <w:rPr/>
      </w:pPr>
      <w:r>
        <w:rPr/>
        <w:drawing>
          <wp:inline distT="0" distB="0" distL="0" distR="0">
            <wp:extent cx="5715000" cy="39541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715000" cy="3954145"/>
                    </a:xfrm>
                    <a:prstGeom prst="rect">
                      <a:avLst/>
                    </a:prstGeom>
                  </pic:spPr>
                </pic:pic>
              </a:graphicData>
            </a:graphic>
          </wp:inline>
        </w:drawing>
      </w:r>
    </w:p>
    <w:p>
      <w:pPr>
        <w:pStyle w:val="Caption1"/>
        <w:jc w:val="center"/>
        <w:rPr/>
      </w:pPr>
      <w:r>
        <w:rPr/>
        <w:t>Figure 2. Full-sample Markowitz frontiers under A, B, and C.</w:t>
      </w:r>
    </w:p>
    <w:p>
      <w:pPr>
        <w:pStyle w:val="Normal"/>
        <w:keepNext w:val="true"/>
        <w:jc w:val="center"/>
        <w:rPr/>
      </w:pPr>
      <w:r>
        <w:rPr/>
        <w:drawing>
          <wp:inline distT="0" distB="0" distL="0" distR="0">
            <wp:extent cx="5715000" cy="39541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715000" cy="3954145"/>
                    </a:xfrm>
                    <a:prstGeom prst="rect">
                      <a:avLst/>
                    </a:prstGeom>
                  </pic:spPr>
                </pic:pic>
              </a:graphicData>
            </a:graphic>
          </wp:inline>
        </w:drawing>
      </w:r>
    </w:p>
    <w:p>
      <w:pPr>
        <w:pStyle w:val="Caption1"/>
        <w:jc w:val="center"/>
        <w:rPr/>
      </w:pPr>
      <w:r>
        <w:rPr/>
        <w:t>Figure 3. Specification A Markowitz frontier; tangency is nonattained.</w:t>
      </w:r>
    </w:p>
    <w:p>
      <w:pPr>
        <w:pStyle w:val="Normal"/>
        <w:keepNext w:val="true"/>
        <w:jc w:val="center"/>
        <w:rPr/>
      </w:pPr>
      <w:r>
        <w:rPr/>
        <w:drawing>
          <wp:inline distT="0" distB="0" distL="0" distR="0">
            <wp:extent cx="5715000" cy="39541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0"/>
                    <a:stretch>
                      <a:fillRect/>
                    </a:stretch>
                  </pic:blipFill>
                  <pic:spPr bwMode="auto">
                    <a:xfrm>
                      <a:off x="0" y="0"/>
                      <a:ext cx="5715000" cy="3954145"/>
                    </a:xfrm>
                    <a:prstGeom prst="rect">
                      <a:avLst/>
                    </a:prstGeom>
                  </pic:spPr>
                </pic:pic>
              </a:graphicData>
            </a:graphic>
          </wp:inline>
        </w:drawing>
      </w:r>
    </w:p>
    <w:p>
      <w:pPr>
        <w:pStyle w:val="Caption1"/>
        <w:jc w:val="center"/>
        <w:rPr/>
      </w:pPr>
      <w:r>
        <w:rPr/>
        <w:t>Figure 4. Specification B Markowitz frontier and attained CAL.</w:t>
      </w:r>
    </w:p>
    <w:p>
      <w:pPr>
        <w:pStyle w:val="Normal"/>
        <w:keepNext w:val="true"/>
        <w:jc w:val="center"/>
        <w:rPr/>
      </w:pPr>
      <w:r>
        <w:rPr/>
        <w:drawing>
          <wp:inline distT="0" distB="0" distL="0" distR="0">
            <wp:extent cx="5715000" cy="39541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1"/>
                    <a:stretch>
                      <a:fillRect/>
                    </a:stretch>
                  </pic:blipFill>
                  <pic:spPr bwMode="auto">
                    <a:xfrm>
                      <a:off x="0" y="0"/>
                      <a:ext cx="5715000" cy="3954145"/>
                    </a:xfrm>
                    <a:prstGeom prst="rect">
                      <a:avLst/>
                    </a:prstGeom>
                  </pic:spPr>
                </pic:pic>
              </a:graphicData>
            </a:graphic>
          </wp:inline>
        </w:drawing>
      </w:r>
    </w:p>
    <w:p>
      <w:pPr>
        <w:pStyle w:val="Caption1"/>
        <w:jc w:val="center"/>
        <w:rPr/>
      </w:pPr>
      <w:r>
        <w:rPr/>
        <w:t>Figure 5. Specification C Markowitz frontier and attained CAL.</w:t>
      </w:r>
    </w:p>
    <w:p>
      <w:pPr>
        <w:pStyle w:val="Heading1"/>
        <w:rPr/>
      </w:pPr>
      <w:bookmarkStart w:id="5" w:name="__RefHeading___Toc6671_450176566"/>
      <w:bookmarkEnd w:id="5"/>
      <w:r>
        <w:rPr/>
        <w:t>5. Benchmark Portfolios</w:t>
      </w:r>
    </w:p>
    <w:p>
      <w:pPr>
        <w:pStyle w:val="Caption1"/>
        <w:jc w:val="center"/>
        <w:rPr/>
      </w:pPr>
      <w:r>
        <w:rPr/>
        <w:t>Table 6. Benchmark performance and feasibility</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608"/>
        <w:gridCol w:w="1607"/>
        <w:gridCol w:w="1609"/>
        <w:gridCol w:w="1608"/>
        <w:gridCol w:w="1607"/>
        <w:gridCol w:w="1608"/>
      </w:tblGrid>
      <w:tr>
        <w:trPr>
          <w:tblHeader w:val="true"/>
          <w:cantSplit w:val="true"/>
        </w:trPr>
        <w:tc>
          <w:tcPr>
            <w:tcW w:w="160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Benchmark</w:t>
            </w:r>
          </w:p>
        </w:tc>
        <w:tc>
          <w:tcPr>
            <w:tcW w:w="160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Specification</w:t>
            </w:r>
          </w:p>
        </w:tc>
        <w:tc>
          <w:tcPr>
            <w:tcW w:w="160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Feasible</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60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equal_weight</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6.02%</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11.68%</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0.130</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equal_weight</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6.02%</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11.68%</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0.130</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equal_weight</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6.02%</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11.68%</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0.130</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60_40</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6.61%</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10.70%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0.197</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60_40</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6.61%</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10.70%</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0.197</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60_40</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6.61%</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10.70%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0.197</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40_30_30</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6.04%</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10.87%</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0.142</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40_30_30</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6.04%</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10.87%</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0.142</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40_30_30</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yes</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6.04%</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10.87%</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0.142</w:t>
            </w:r>
          </w:p>
        </w:tc>
      </w:tr>
    </w:tbl>
    <w:p>
      <w:pPr>
        <w:pStyle w:val="Normal"/>
        <w:spacing w:before="0" w:after="20"/>
        <w:rPr/>
      </w:pPr>
      <w:r>
        <w:rPr/>
      </w:r>
    </w:p>
    <w:p>
      <w:pPr>
        <w:pStyle w:val="Normal"/>
        <w:rPr/>
      </w:pPr>
      <w:r>
        <w:rPr/>
        <w:t>Feasibility is evaluated independently under each specification. No infeasible allocation is projected into or treated as part of a constraint-specific opportunity set.</w:t>
      </w:r>
    </w:p>
    <w:p>
      <w:pPr>
        <w:pStyle w:val="Heading1"/>
        <w:rPr/>
      </w:pPr>
      <w:bookmarkStart w:id="6" w:name="__RefHeading___Toc6673_450176566"/>
      <w:bookmarkEnd w:id="6"/>
      <w:r>
        <w:rPr/>
        <w:t>6. Effect of Portfolio Constraints</w:t>
      </w:r>
    </w:p>
    <w:p>
      <w:pPr>
        <w:pStyle w:val="Normal"/>
        <w:rPr/>
      </w:pPr>
      <w:r>
        <w:rPr/>
        <w:t>A permits large offsetting long and short positions and therefore has the greatest exposure to estimation error. B forces gross exposure to one. Under C, eight weights each capped at +20% must sum to one, so at least five meaningful long positions are required; no more than two holdings can be strictly negative, and maximum gross exposure is 1.40. The saved bound diagnostics show which assets absorb these geometric restrictions.</w:t>
      </w:r>
    </w:p>
    <w:p>
      <w:pPr>
        <w:pStyle w:val="Heading1"/>
        <w:rPr/>
      </w:pPr>
      <w:bookmarkStart w:id="7" w:name="__RefHeading___Toc6675_450176566"/>
      <w:bookmarkEnd w:id="7"/>
      <w:r>
        <w:rPr/>
        <w:t>7. Pre-COVID versus Post-COVID Markowitz Results</w:t>
      </w:r>
    </w:p>
    <w:p>
      <w:pPr>
        <w:pStyle w:val="Caption1"/>
        <w:jc w:val="center"/>
        <w:rPr/>
      </w:pPr>
      <w:r>
        <w:rPr/>
        <w:t>Table 7. Specification B pre/post portfolio comparison</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608"/>
        <w:gridCol w:w="1607"/>
        <w:gridCol w:w="1609"/>
        <w:gridCol w:w="1608"/>
        <w:gridCol w:w="1607"/>
        <w:gridCol w:w="1608"/>
      </w:tblGrid>
      <w:tr>
        <w:trPr>
          <w:tblHeader w:val="true"/>
          <w:cantSplit w:val="true"/>
        </w:trPr>
        <w:tc>
          <w:tcPr>
            <w:tcW w:w="160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Period</w:t>
            </w:r>
          </w:p>
        </w:tc>
        <w:tc>
          <w:tcPr>
            <w:tcW w:w="160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60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60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Gross exposure</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Pre-COVID</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4.09%</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3.50%</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-0.116</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Pre-COVID</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8.68%</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8.04%</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0.520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Post-COVID</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2.44%</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5.36%</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-0.384</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Post-COVID</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16.19%</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11.94%</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0.980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bl>
    <w:p>
      <w:pPr>
        <w:sectPr>
          <w:footerReference w:type="default" r:id="rId12"/>
          <w:type w:val="nextPage"/>
          <w:pgSz w:w="12240" w:h="15840"/>
          <w:pgMar w:left="1296" w:right="1296" w:gutter="0" w:header="0" w:top="1152" w:footer="504" w:bottom="1152"/>
          <w:pgNumType w:fmt="decimal"/>
          <w:formProt w:val="false"/>
          <w:textDirection w:val="lrTb"/>
          <w:docGrid w:type="default" w:linePitch="360" w:charSpace="0"/>
        </w:sectPr>
        <w:pStyle w:val="Normal"/>
        <w:spacing w:before="0" w:after="20"/>
        <w:rPr/>
      </w:pPr>
      <w:r>
        <w:rPr/>
      </w:r>
    </w:p>
    <w:p>
      <w:pPr>
        <w:pStyle w:val="Caption1"/>
        <w:jc w:val="center"/>
        <w:rPr/>
      </w:pPr>
      <w:r>
        <w:rPr/>
        <w:t>Table 8. Pre/post portfolio weights</w:t>
      </w:r>
    </w:p>
    <w:tbl>
      <w:tblPr>
        <w:tblStyle w:val="TableGrid"/>
        <w:tblW w:w="1368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368"/>
        <w:gridCol w:w="1368"/>
        <w:gridCol w:w="1368"/>
        <w:gridCol w:w="1368"/>
        <w:gridCol w:w="1368"/>
        <w:gridCol w:w="1368"/>
        <w:gridCol w:w="1368"/>
        <w:gridCol w:w="1368"/>
        <w:gridCol w:w="1368"/>
        <w:gridCol w:w="1366"/>
      </w:tblGrid>
      <w:tr>
        <w:trPr>
          <w:tblHeader w:val="true"/>
          <w:cantSplit w:val="true"/>
        </w:trPr>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Period</w:t>
            </w:r>
          </w:p>
        </w:tc>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Portfolio</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SPY</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EFA</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EEM</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TLT</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AGG</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GLD</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USO</w:t>
            </w:r>
          </w:p>
        </w:tc>
        <w:tc>
          <w:tcPr>
            <w:tcW w:w="136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DBC</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Pre-COVID</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94.4%</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2.9%</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Pre-COVID</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51.8%</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43.1%</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5.1%</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Post-COVID</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88.5%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11.5%</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Post-COVID</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33.1%</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47.2%</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0.4%</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19.2%</w:t>
            </w:r>
          </w:p>
        </w:tc>
      </w:tr>
    </w:tbl>
    <w:p>
      <w:pPr>
        <w:sectPr>
          <w:footerReference w:type="default" r:id="rId13"/>
          <w:type w:val="nextPage"/>
          <w:pgSz w:orient="landscape" w:w="15840" w:h="12240"/>
          <w:pgMar w:left="1080" w:right="1080" w:gutter="0" w:header="0" w:top="1152" w:footer="504" w:bottom="1152"/>
          <w:pgNumType w:fmt="decimal"/>
          <w:formProt w:val="false"/>
          <w:textDirection w:val="lrTb"/>
          <w:docGrid w:type="default" w:linePitch="360" w:charSpace="0"/>
        </w:sectPr>
        <w:pStyle w:val="Normal"/>
        <w:spacing w:before="0" w:after="20"/>
        <w:rPr/>
      </w:pPr>
      <w:r>
        <w:rPr/>
      </w:r>
    </w:p>
    <w:p>
      <w:pPr>
        <w:pStyle w:val="Normal"/>
        <w:rPr/>
      </w:pPr>
      <w:r>
        <w:rPr/>
        <w:t>GMV weights change by L1=0.231; tangency weights change by L1=1.235. The largest absolute correlation changes are SPY/TLT=+0.631, EEM/TLT=+0.588, EFA/TLT=+0.586, SPY/AGG=+0.511. The largest monthly covariance changes are USO/DBC=+0.002368, GLD/USO=-0.001813, EEM/USO=-0.001789, EEM/TLT=+0.001357. The shorter post-COVID sample makes these estimates less precise.</w:t>
      </w:r>
    </w:p>
    <w:p>
      <w:pPr>
        <w:pStyle w:val="Normal"/>
        <w:keepNext w:val="true"/>
        <w:jc w:val="center"/>
        <w:rPr/>
      </w:pPr>
      <w:r>
        <w:rPr/>
        <w:drawing>
          <wp:inline distT="0" distB="0" distL="0" distR="0">
            <wp:extent cx="5715000" cy="39541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4"/>
                    <a:stretch>
                      <a:fillRect/>
                    </a:stretch>
                  </pic:blipFill>
                  <pic:spPr bwMode="auto">
                    <a:xfrm>
                      <a:off x="0" y="0"/>
                      <a:ext cx="5715000" cy="3954145"/>
                    </a:xfrm>
                    <a:prstGeom prst="rect">
                      <a:avLst/>
                    </a:prstGeom>
                  </pic:spPr>
                </pic:pic>
              </a:graphicData>
            </a:graphic>
          </wp:inline>
        </w:drawing>
      </w:r>
    </w:p>
    <w:p>
      <w:pPr>
        <w:pStyle w:val="Caption1"/>
        <w:jc w:val="center"/>
        <w:rPr/>
      </w:pPr>
      <w:r>
        <w:rPr/>
        <w:t>Figure 6. Pre- and post-COVID Specification B frontiers and CALs on common axes.</w:t>
      </w:r>
    </w:p>
    <w:p>
      <w:pPr>
        <w:pStyle w:val="Heading1"/>
        <w:rPr/>
      </w:pPr>
      <w:bookmarkStart w:id="8" w:name="__RefHeading___Toc6677_450176566"/>
      <w:bookmarkEnd w:id="8"/>
      <w:r>
        <w:rPr/>
        <w:t>8. Single-Index Model Estimation</w:t>
      </w:r>
    </w:p>
    <w:p>
      <w:pPr>
        <w:pStyle w:val="Equation"/>
        <w:rPr/>
      </w:pPr>
      <w:r>
        <w:rPr/>
        <w:t>rᵢ − r_f = αᵢ + βᵢ(r_SPY − r_f) + εᵢ</w:t>
      </w:r>
    </w:p>
    <w:p>
      <w:pPr>
        <w:pStyle w:val="Equation"/>
        <w:rPr/>
      </w:pPr>
      <w:r>
        <w:rPr/>
        <w:t>Σ_SIM = ββ′ Var(r_SPY − r_f) + diag(σ²_ε)</w:t>
      </w:r>
    </w:p>
    <w:p>
      <w:pPr>
        <w:sectPr>
          <w:footerReference w:type="default" r:id="rId15"/>
          <w:type w:val="nextPage"/>
          <w:pgSz w:w="12240" w:h="15840"/>
          <w:pgMar w:left="1296" w:right="1296" w:gutter="0" w:header="0" w:top="1152" w:footer="504" w:bottom="1152"/>
          <w:pgNumType w:fmt="decimal"/>
          <w:formProt w:val="false"/>
          <w:textDirection w:val="lrTb"/>
          <w:docGrid w:type="default" w:linePitch="360" w:charSpace="0"/>
        </w:sectPr>
        <w:pStyle w:val="Normal"/>
        <w:rPr/>
      </w:pPr>
      <w:r>
        <w:rPr/>
        <w:t xml:space="preserve">For every non-market asset the regression is </w:t>
      </w:r>
      <w:r>
        <w:rPr>
          <w:rFonts w:ascii="Cambria Math" w:hAnsi="Cambria Math"/>
          <w:i/>
        </w:rPr>
        <w:t>(r_i - rf) = alpha_i + beta_i (r_SPY - rf) + epsilon_i</w:t>
      </w:r>
      <w:r>
        <w:rPr/>
        <w:t xml:space="preserve">. SPY is assigned alpha=0, beta=1, and residual variance=0 and is not regressed on itself. The covariance model is </w:t>
      </w:r>
      <w:r>
        <w:rPr>
          <w:rFonts w:ascii="Cambria Math" w:hAnsi="Cambria Math"/>
          <w:i/>
        </w:rPr>
        <w:t>Sigma_SIM = beta beta' Var(SPY - RF) + diag(residual variances)</w:t>
      </w:r>
      <w:r>
        <w:rPr/>
        <w:t>.</w:t>
      </w:r>
    </w:p>
    <w:p>
      <w:pPr>
        <w:pStyle w:val="Caption1"/>
        <w:jc w:val="center"/>
        <w:rPr/>
      </w:pPr>
      <w:r>
        <w:rPr/>
        <w:t>Table 9. SIM estimates and model-implied expected returns</w:t>
      </w:r>
    </w:p>
    <w:tbl>
      <w:tblPr>
        <w:tblStyle w:val="TableGrid"/>
        <w:tblW w:w="1368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519"/>
        <w:gridCol w:w="1520"/>
        <w:gridCol w:w="1520"/>
        <w:gridCol w:w="1520"/>
        <w:gridCol w:w="1521"/>
        <w:gridCol w:w="1520"/>
        <w:gridCol w:w="1520"/>
        <w:gridCol w:w="1520"/>
        <w:gridCol w:w="1518"/>
      </w:tblGrid>
      <w:tr>
        <w:trPr>
          <w:tblHeader w:val="true"/>
          <w:cantSplit w:val="true"/>
        </w:trPr>
        <w:tc>
          <w:tcPr>
            <w:tcW w:w="1519"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Asset</w:t>
            </w:r>
          </w:p>
        </w:tc>
        <w:tc>
          <w:tcPr>
            <w:tcW w:w="1520"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Expected return</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Alpha</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Beta</w:t>
            </w:r>
          </w:p>
        </w:tc>
        <w:tc>
          <w:tcPr>
            <w:tcW w:w="1521"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Residual SD</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Residual variance</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Systematic variance</w:t>
            </w:r>
          </w:p>
        </w:tc>
        <w:tc>
          <w:tcPr>
            <w:tcW w:w="1520"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Total variance</w:t>
            </w:r>
          </w:p>
        </w:tc>
        <w:tc>
          <w:tcPr>
            <w:tcW w:w="151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R²</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SPY</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10.50%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1.000</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0.000000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0.023163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0.023163</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1.000</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EFA</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5.63%</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-4.68%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0.969</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8.56%</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0.007328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0.021738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0.029065</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0.749</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EEM</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5.98%</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-4.71%</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1.031</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13.81%</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0.019067</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0.024640</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0.043707</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0.565</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TLT</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7.19%</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3.12%</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-0.072</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13.83%</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0.019138</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0.000121</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0.019259</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0.006</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AGG</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5.77%</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0.074</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4.42%</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0.001952</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0.000125</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0.002077</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0.061</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GLD</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12.63%</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7.61%</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0.088</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17.15%</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0.029424</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0.000180</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0.029604</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0.006</w:t>
            </w:r>
          </w:p>
        </w:tc>
      </w:tr>
      <w:tr>
        <w:trPr>
          <w:cantSplit w:val="true"/>
        </w:trPr>
        <w:tc>
          <w:tcPr>
            <w:tcW w:w="1519"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USO</w:t>
            </w:r>
          </w:p>
        </w:tc>
        <w:tc>
          <w:tcPr>
            <w:tcW w:w="1520"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0.13%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-9.24%</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0.810</w:t>
            </w:r>
          </w:p>
        </w:tc>
        <w:tc>
          <w:tcPr>
            <w:tcW w:w="1521"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35.82%</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0.128313</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0.015214</w:t>
            </w:r>
          </w:p>
        </w:tc>
        <w:tc>
          <w:tcPr>
            <w:tcW w:w="1520"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0.143527</w:t>
            </w:r>
          </w:p>
        </w:tc>
        <w:tc>
          <w:tcPr>
            <w:tcW w:w="151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0.106</w:t>
            </w:r>
          </w:p>
        </w:tc>
      </w:tr>
      <w:tr>
        <w:trPr>
          <w:cantSplit w:val="true"/>
        </w:trPr>
        <w:tc>
          <w:tcPr>
            <w:tcW w:w="1519"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DBC</w:t>
            </w:r>
          </w:p>
        </w:tc>
        <w:tc>
          <w:tcPr>
            <w:tcW w:w="1520"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4.35%</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-3.41%</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0.542</w:t>
            </w:r>
          </w:p>
        </w:tc>
        <w:tc>
          <w:tcPr>
            <w:tcW w:w="1521"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16.92%</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0.028634</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0.006816</w:t>
            </w:r>
          </w:p>
        </w:tc>
        <w:tc>
          <w:tcPr>
            <w:tcW w:w="1520"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0.035449</w:t>
            </w:r>
          </w:p>
        </w:tc>
        <w:tc>
          <w:tcPr>
            <w:tcW w:w="151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0.193</w:t>
            </w:r>
          </w:p>
        </w:tc>
      </w:tr>
    </w:tbl>
    <w:p>
      <w:pPr>
        <w:sectPr>
          <w:footerReference w:type="default" r:id="rId16"/>
          <w:type w:val="nextPage"/>
          <w:pgSz w:orient="landscape" w:w="15840" w:h="12240"/>
          <w:pgMar w:left="1080" w:right="1080" w:gutter="0" w:header="0" w:top="1152" w:footer="504" w:bottom="1152"/>
          <w:pgNumType w:fmt="decimal"/>
          <w:formProt w:val="false"/>
          <w:textDirection w:val="lrTb"/>
          <w:docGrid w:type="default" w:linePitch="360" w:charSpace="0"/>
        </w:sectPr>
        <w:pStyle w:val="Normal"/>
        <w:spacing w:before="0" w:after="20"/>
        <w:rPr/>
      </w:pPr>
      <w:r>
        <w:rPr/>
      </w:r>
    </w:p>
    <w:p>
      <w:pPr>
        <w:pStyle w:val="Heading1"/>
        <w:rPr/>
      </w:pPr>
      <w:bookmarkStart w:id="9" w:name="__RefHeading___Toc6679_450176566"/>
      <w:bookmarkEnd w:id="9"/>
      <w:r>
        <w:rPr/>
        <w:t>9. SIM Portfolio Optimization</w:t>
      </w:r>
    </w:p>
    <w:p>
      <w:pPr>
        <w:pStyle w:val="Caption1"/>
        <w:jc w:val="center"/>
        <w:rPr/>
      </w:pPr>
      <w:r>
        <w:rPr/>
        <w:t>Table 10. SIM GMV and tangency results</w:t>
      </w:r>
    </w:p>
    <w:tbl>
      <w:tblPr>
        <w:tblStyle w:val="TableGrid"/>
        <w:tblW w:w="9646"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378"/>
        <w:gridCol w:w="1377"/>
        <w:gridCol w:w="1379"/>
        <w:gridCol w:w="1377"/>
        <w:gridCol w:w="1379"/>
        <w:gridCol w:w="1377"/>
        <w:gridCol w:w="1378"/>
      </w:tblGrid>
      <w:tr>
        <w:trPr>
          <w:tblHeader w:val="true"/>
          <w:cantSplit w:val="true"/>
        </w:trPr>
        <w:tc>
          <w:tcPr>
            <w:tcW w:w="137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Model/specification</w:t>
            </w:r>
          </w:p>
        </w:tc>
        <w:tc>
          <w:tcPr>
            <w:tcW w:w="137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Status</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c>
          <w:tcPr>
            <w:tcW w:w="137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Gross exposure</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A</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6.20%</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0.408</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1.015</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A</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14.29%</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9.99%</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0.980</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3.195</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6.22%</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0.414</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8.62%</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6.23%</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0.662</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8.09%</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7.38%</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0.487</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SIM 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ATTAINED</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8.50%</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7.79%</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0.514</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1.095</w:t>
            </w:r>
          </w:p>
        </w:tc>
      </w:tr>
    </w:tbl>
    <w:p>
      <w:pPr>
        <w:sectPr>
          <w:footerReference w:type="default" r:id="rId17"/>
          <w:type w:val="nextPage"/>
          <w:pgSz w:w="12240" w:h="15840"/>
          <w:pgMar w:left="1296" w:right="1296" w:gutter="0" w:header="0" w:top="1152" w:footer="504" w:bottom="1152"/>
          <w:pgNumType w:fmt="decimal"/>
          <w:formProt w:val="false"/>
          <w:textDirection w:val="lrTb"/>
          <w:docGrid w:type="default" w:linePitch="360" w:charSpace="0"/>
        </w:sectPr>
        <w:pStyle w:val="Normal"/>
        <w:spacing w:before="0" w:after="20"/>
        <w:rPr/>
      </w:pPr>
      <w:r>
        <w:rPr/>
      </w:r>
    </w:p>
    <w:p>
      <w:pPr>
        <w:pStyle w:val="Caption1"/>
        <w:jc w:val="center"/>
        <w:rPr/>
      </w:pPr>
      <w:r>
        <w:rPr/>
        <w:t>Table 11. SIM portfolio weights</w:t>
      </w:r>
    </w:p>
    <w:tbl>
      <w:tblPr>
        <w:tblStyle w:val="TableGrid"/>
        <w:tblW w:w="1368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368"/>
        <w:gridCol w:w="1368"/>
        <w:gridCol w:w="1368"/>
        <w:gridCol w:w="1368"/>
        <w:gridCol w:w="1368"/>
        <w:gridCol w:w="1368"/>
        <w:gridCol w:w="1368"/>
        <w:gridCol w:w="1368"/>
        <w:gridCol w:w="1368"/>
        <w:gridCol w:w="1366"/>
      </w:tblGrid>
      <w:tr>
        <w:trPr>
          <w:tblHeader w:val="true"/>
          <w:cantSplit w:val="true"/>
        </w:trPr>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Model/specification</w:t>
            </w:r>
          </w:p>
        </w:tc>
        <w:tc>
          <w:tcPr>
            <w:tcW w:w="136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Portfolio</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SPY</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EFA</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EEM</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TLT</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AGG</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GLD</w:t>
            </w:r>
          </w:p>
        </w:tc>
        <w:tc>
          <w:tcPr>
            <w:tcW w:w="136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USO</w:t>
            </w:r>
          </w:p>
        </w:tc>
        <w:tc>
          <w:tcPr>
            <w:tcW w:w="136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DBC</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A</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82.0%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5.4%</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2.8%</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A</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123.7%</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-65.1%</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-25.2%</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16.6%</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43.1%</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26.3%</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-7.3%</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-12.1%</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B</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9.7%</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81.8%</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5.3%</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2.7%</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B</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20.4%</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15.4%</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39.9%</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24.3%</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w:t>
            </w:r>
          </w:p>
        </w:tc>
      </w:tr>
      <w:tr>
        <w:trPr>
          <w:cantSplit w:val="true"/>
        </w:trPr>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C</w:t>
            </w:r>
          </w:p>
        </w:tc>
        <w:tc>
          <w:tcPr>
            <w:tcW w:w="136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GMV</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5.6%</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-0.5%</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w:t>
            </w:r>
          </w:p>
        </w:tc>
        <w:tc>
          <w:tcPr>
            <w:tcW w:w="136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13.6%</w:t>
            </w:r>
          </w:p>
        </w:tc>
      </w:tr>
      <w:tr>
        <w:trPr>
          <w:cantSplit w:val="true"/>
        </w:trPr>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SIM C</w:t>
            </w:r>
          </w:p>
        </w:tc>
        <w:tc>
          <w:tcPr>
            <w:tcW w:w="136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tangency</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11.3%</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4.2%</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20.0%</w:t>
            </w:r>
          </w:p>
        </w:tc>
        <w:tc>
          <w:tcPr>
            <w:tcW w:w="136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-4.8%</w:t>
            </w:r>
          </w:p>
        </w:tc>
        <w:tc>
          <w:tcPr>
            <w:tcW w:w="136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9.3%</w:t>
            </w:r>
          </w:p>
        </w:tc>
      </w:tr>
    </w:tbl>
    <w:p>
      <w:pPr>
        <w:sectPr>
          <w:footerReference w:type="default" r:id="rId18"/>
          <w:type w:val="nextPage"/>
          <w:pgSz w:orient="landscape" w:w="15840" w:h="12240"/>
          <w:pgMar w:left="1080" w:right="1080" w:gutter="0" w:header="0" w:top="1152" w:footer="504" w:bottom="1152"/>
          <w:pgNumType w:fmt="decimal"/>
          <w:formProt w:val="false"/>
          <w:textDirection w:val="lrTb"/>
          <w:docGrid w:type="default" w:linePitch="360" w:charSpace="0"/>
        </w:sectPr>
        <w:pStyle w:val="Normal"/>
        <w:spacing w:before="0" w:after="20"/>
        <w:rPr/>
      </w:pPr>
      <w:r>
        <w:rPr/>
      </w:r>
    </w:p>
    <w:p>
      <w:pPr>
        <w:pStyle w:val="Normal"/>
        <w:keepNext w:val="true"/>
        <w:jc w:val="center"/>
        <w:rPr/>
      </w:pPr>
      <w:r>
        <w:rPr/>
        <w:drawing>
          <wp:inline distT="0" distB="0" distL="0" distR="0">
            <wp:extent cx="5715000" cy="39541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9"/>
                    <a:stretch>
                      <a:fillRect/>
                    </a:stretch>
                  </pic:blipFill>
                  <pic:spPr bwMode="auto">
                    <a:xfrm>
                      <a:off x="0" y="0"/>
                      <a:ext cx="5715000" cy="3954145"/>
                    </a:xfrm>
                    <a:prstGeom prst="rect">
                      <a:avLst/>
                    </a:prstGeom>
                  </pic:spPr>
                </pic:pic>
              </a:graphicData>
            </a:graphic>
          </wp:inline>
        </w:drawing>
      </w:r>
    </w:p>
    <w:p>
      <w:pPr>
        <w:pStyle w:val="Caption1"/>
        <w:jc w:val="center"/>
        <w:rPr/>
      </w:pPr>
      <w:r>
        <w:rPr/>
        <w:t>Figure 7. SIM complete-model frontier under Specification A.</w:t>
      </w:r>
    </w:p>
    <w:p>
      <w:pPr>
        <w:pStyle w:val="Normal"/>
        <w:keepNext w:val="true"/>
        <w:jc w:val="center"/>
        <w:rPr/>
      </w:pPr>
      <w:r>
        <w:rPr/>
        <w:drawing>
          <wp:inline distT="0" distB="0" distL="0" distR="0">
            <wp:extent cx="5715000" cy="39541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0"/>
                    <a:stretch>
                      <a:fillRect/>
                    </a:stretch>
                  </pic:blipFill>
                  <pic:spPr bwMode="auto">
                    <a:xfrm>
                      <a:off x="0" y="0"/>
                      <a:ext cx="5715000" cy="3954145"/>
                    </a:xfrm>
                    <a:prstGeom prst="rect">
                      <a:avLst/>
                    </a:prstGeom>
                  </pic:spPr>
                </pic:pic>
              </a:graphicData>
            </a:graphic>
          </wp:inline>
        </w:drawing>
      </w:r>
    </w:p>
    <w:p>
      <w:pPr>
        <w:pStyle w:val="Caption1"/>
        <w:jc w:val="center"/>
        <w:rPr/>
      </w:pPr>
      <w:r>
        <w:rPr/>
        <w:t>Figure 8. SIM complete-model frontier under Specification B.</w:t>
      </w:r>
    </w:p>
    <w:p>
      <w:pPr>
        <w:pStyle w:val="Normal"/>
        <w:keepNext w:val="true"/>
        <w:jc w:val="center"/>
        <w:rPr/>
      </w:pPr>
      <w:r>
        <w:rPr/>
        <w:drawing>
          <wp:inline distT="0" distB="0" distL="0" distR="0">
            <wp:extent cx="5715000" cy="39541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21"/>
                    <a:stretch>
                      <a:fillRect/>
                    </a:stretch>
                  </pic:blipFill>
                  <pic:spPr bwMode="auto">
                    <a:xfrm>
                      <a:off x="0" y="0"/>
                      <a:ext cx="5715000" cy="3954145"/>
                    </a:xfrm>
                    <a:prstGeom prst="rect">
                      <a:avLst/>
                    </a:prstGeom>
                  </pic:spPr>
                </pic:pic>
              </a:graphicData>
            </a:graphic>
          </wp:inline>
        </w:drawing>
      </w:r>
    </w:p>
    <w:p>
      <w:pPr>
        <w:pStyle w:val="Caption1"/>
        <w:jc w:val="center"/>
        <w:rPr/>
      </w:pPr>
      <w:r>
        <w:rPr/>
        <w:t>Figure 9. SIM complete-model frontier under Specification C.</w:t>
      </w:r>
    </w:p>
    <w:p>
      <w:pPr>
        <w:pStyle w:val="Heading1"/>
        <w:rPr/>
      </w:pPr>
      <w:bookmarkStart w:id="10" w:name="__RefHeading___Toc6681_450176566"/>
      <w:bookmarkEnd w:id="10"/>
      <w:r>
        <w:rPr/>
        <w:t>10. Markowitz versus SIM: Covariance-Only Experiment</w:t>
      </w:r>
    </w:p>
    <w:p>
      <w:pPr>
        <w:pStyle w:val="Normal"/>
        <w:rPr/>
      </w:pPr>
      <w:r>
        <w:rPr/>
        <w:t>The expected-return vectors and observations are exactly identical. Markowitz uses full sample covariance; SIM uses single-index covariance. Every difference below is therefore a covariance-model effect. Categories are pointwise and no overall winner is declared.</w:t>
      </w:r>
    </w:p>
    <w:p>
      <w:pPr>
        <w:pStyle w:val="Caption1"/>
        <w:jc w:val="center"/>
        <w:rPr/>
      </w:pPr>
      <w:r>
        <w:rPr/>
        <w:t>Table 12. Covariance-only common-target frontier diagnostics</w:t>
      </w:r>
    </w:p>
    <w:tbl>
      <w:tblPr>
        <w:tblStyle w:val="TableGrid"/>
        <w:tblW w:w="9648"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206"/>
        <w:gridCol w:w="1206"/>
        <w:gridCol w:w="1206"/>
        <w:gridCol w:w="1206"/>
        <w:gridCol w:w="1206"/>
        <w:gridCol w:w="1206"/>
        <w:gridCol w:w="1206"/>
        <w:gridCol w:w="1204"/>
      </w:tblGrid>
      <w:tr>
        <w:trPr>
          <w:tblHeader w:val="true"/>
          <w:cantSplit w:val="true"/>
        </w:trPr>
        <w:tc>
          <w:tcPr>
            <w:tcW w:w="1206"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Specification</w:t>
            </w:r>
          </w:p>
        </w:tc>
        <w:tc>
          <w:tcPr>
            <w:tcW w:w="1206"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Common targets</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Min SIM−Markowitz SD</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Max SIM−Markowitz SD</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Mean absolute SD difference</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MARKOWITZ</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SIM</w:t>
            </w:r>
          </w:p>
        </w:tc>
        <w:tc>
          <w:tcPr>
            <w:tcW w:w="1204"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TIE</w:t>
            </w:r>
          </w:p>
        </w:tc>
      </w:tr>
      <w:tr>
        <w:trPr>
          <w:cantSplit w:val="true"/>
        </w:trPr>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w:t>
            </w:r>
          </w:p>
        </w:tc>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-0.327%</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1.123%</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0.329%</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33</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47</w:t>
            </w:r>
          </w:p>
        </w:tc>
        <w:tc>
          <w:tcPr>
            <w:tcW w:w="1204"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r>
        <w:trPr>
          <w:cantSplit w:val="true"/>
        </w:trPr>
        <w:tc>
          <w:tcPr>
            <w:tcW w:w="1206"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w:t>
            </w:r>
          </w:p>
        </w:tc>
        <w:tc>
          <w:tcPr>
            <w:tcW w:w="1206"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-0.702%</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0.006%</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0.468%</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78</w:t>
            </w:r>
          </w:p>
        </w:tc>
        <w:tc>
          <w:tcPr>
            <w:tcW w:w="1204"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r>
        <w:trPr>
          <w:cantSplit w:val="true"/>
        </w:trPr>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w:t>
            </w:r>
          </w:p>
        </w:tc>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-1.228%</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0.276%</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0.949%</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79</w:t>
            </w:r>
          </w:p>
        </w:tc>
        <w:tc>
          <w:tcPr>
            <w:tcW w:w="1204"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bl>
    <w:p>
      <w:pPr>
        <w:pStyle w:val="Normal"/>
        <w:spacing w:before="0" w:after="20"/>
        <w:rPr/>
      </w:pPr>
      <w:r>
        <w:rPr/>
      </w:r>
    </w:p>
    <w:p>
      <w:pPr>
        <w:pStyle w:val="Caption1"/>
        <w:jc w:val="center"/>
        <w:rPr/>
      </w:pPr>
      <w:r>
        <w:rPr/>
        <w:t>Table 13. Covariance-only GMV and tangency comparison</w:t>
      </w:r>
    </w:p>
    <w:tbl>
      <w:tblPr>
        <w:tblStyle w:val="TableGrid"/>
        <w:tblW w:w="9646"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378"/>
        <w:gridCol w:w="1377"/>
        <w:gridCol w:w="1379"/>
        <w:gridCol w:w="1377"/>
        <w:gridCol w:w="1379"/>
        <w:gridCol w:w="1377"/>
        <w:gridCol w:w="1378"/>
      </w:tblGrid>
      <w:tr>
        <w:trPr>
          <w:tblHeader w:val="true"/>
          <w:cantSplit w:val="true"/>
        </w:trPr>
        <w:tc>
          <w:tcPr>
            <w:tcW w:w="137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Specification</w:t>
            </w:r>
          </w:p>
        </w:tc>
        <w:tc>
          <w:tcPr>
            <w:tcW w:w="137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Model</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c>
          <w:tcPr>
            <w:tcW w:w="137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Gross exposure</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2.49%</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2.83%</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-0.709</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2.008</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3.61%</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-0.214</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1.015</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3.16%</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4.30%</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-0.313</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3.64%</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-0.206</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11.07%</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11.94%</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0.550</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11.05%</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11.89%</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0.551</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6.50%</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7.93%</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0.253</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1.391</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6.62%</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7.38%</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0.287</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8.34%</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11.81%</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0.325</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1.388</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7.91%</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9.33%</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0.366</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1.282</w:t>
            </w:r>
          </w:p>
        </w:tc>
      </w:tr>
    </w:tbl>
    <w:p>
      <w:pPr>
        <w:pStyle w:val="Normal"/>
        <w:spacing w:before="0" w:after="20"/>
        <w:rPr/>
      </w:pPr>
      <w:r>
        <w:rPr/>
      </w:r>
    </w:p>
    <w:p>
      <w:pPr>
        <w:pStyle w:val="Caption1"/>
        <w:jc w:val="center"/>
        <w:rPr/>
      </w:pPr>
      <w:r>
        <w:rPr/>
        <w:t>Table 14. Largest covariance-only allocation differences</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608"/>
        <w:gridCol w:w="1607"/>
        <w:gridCol w:w="1609"/>
        <w:gridCol w:w="1608"/>
        <w:gridCol w:w="1607"/>
        <w:gridCol w:w="1608"/>
      </w:tblGrid>
      <w:tr>
        <w:trPr>
          <w:tblHeader w:val="true"/>
          <w:cantSplit w:val="true"/>
        </w:trPr>
        <w:tc>
          <w:tcPr>
            <w:tcW w:w="160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Specification</w:t>
            </w:r>
          </w:p>
        </w:tc>
        <w:tc>
          <w:tcPr>
            <w:tcW w:w="160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60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Largest-changing asset</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Markowitz</w:t>
            </w:r>
          </w:p>
        </w:tc>
        <w:tc>
          <w:tcPr>
            <w:tcW w:w="160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SIM</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Absolute change</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AGG</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142.66%</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81.98%</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60.68%</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unavailable: NONATTAINED</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AGG</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93.93%</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81.85%</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12.09%</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TLT</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0.00%</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0.31%</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0.31%</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EEM</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-17.69%</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-0.51%</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17.18%</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DBC</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20.00%</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-4.60%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24.60%</w:t>
            </w:r>
          </w:p>
        </w:tc>
      </w:tr>
    </w:tbl>
    <w:p>
      <w:pPr>
        <w:pStyle w:val="Normal"/>
        <w:spacing w:before="0" w:after="20"/>
        <w:rPr/>
      </w:pPr>
      <w:r>
        <w:rPr/>
      </w:r>
    </w:p>
    <w:p>
      <w:pPr>
        <w:pStyle w:val="Normal"/>
        <w:keepNext w:val="true"/>
        <w:jc w:val="center"/>
        <w:rPr/>
      </w:pPr>
      <w:r>
        <w:rPr/>
        <w:drawing>
          <wp:inline distT="0" distB="0" distL="0" distR="0">
            <wp:extent cx="5715000" cy="39541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22"/>
                    <a:stretch>
                      <a:fillRect/>
                    </a:stretch>
                  </pic:blipFill>
                  <pic:spPr bwMode="auto">
                    <a:xfrm>
                      <a:off x="0" y="0"/>
                      <a:ext cx="5715000" cy="3954145"/>
                    </a:xfrm>
                    <a:prstGeom prst="rect">
                      <a:avLst/>
                    </a:prstGeom>
                  </pic:spPr>
                </pic:pic>
              </a:graphicData>
            </a:graphic>
          </wp:inline>
        </w:drawing>
      </w:r>
    </w:p>
    <w:p>
      <w:pPr>
        <w:pStyle w:val="Caption1"/>
        <w:jc w:val="center"/>
        <w:rPr/>
      </w:pPr>
      <w:r>
        <w:rPr/>
        <w:t>Figure 10. Covariance-only Markowitz versus SIM comparison, Specification A.</w:t>
      </w:r>
    </w:p>
    <w:p>
      <w:pPr>
        <w:pStyle w:val="Normal"/>
        <w:keepNext w:val="true"/>
        <w:jc w:val="center"/>
        <w:rPr/>
      </w:pPr>
      <w:r>
        <w:rPr/>
        <w:drawing>
          <wp:inline distT="0" distB="0" distL="0" distR="0">
            <wp:extent cx="5715000" cy="39541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23"/>
                    <a:stretch>
                      <a:fillRect/>
                    </a:stretch>
                  </pic:blipFill>
                  <pic:spPr bwMode="auto">
                    <a:xfrm>
                      <a:off x="0" y="0"/>
                      <a:ext cx="5715000" cy="3954145"/>
                    </a:xfrm>
                    <a:prstGeom prst="rect">
                      <a:avLst/>
                    </a:prstGeom>
                  </pic:spPr>
                </pic:pic>
              </a:graphicData>
            </a:graphic>
          </wp:inline>
        </w:drawing>
      </w:r>
    </w:p>
    <w:p>
      <w:pPr>
        <w:pStyle w:val="Caption1"/>
        <w:jc w:val="center"/>
        <w:rPr/>
      </w:pPr>
      <w:r>
        <w:rPr/>
        <w:t>Figure 11. Covariance-only Markowitz versus SIM comparison, Specification B.</w:t>
      </w:r>
    </w:p>
    <w:p>
      <w:pPr>
        <w:pStyle w:val="Normal"/>
        <w:keepNext w:val="true"/>
        <w:jc w:val="center"/>
        <w:rPr/>
      </w:pPr>
      <w:r>
        <w:rPr/>
        <w:drawing>
          <wp:inline distT="0" distB="0" distL="0" distR="0">
            <wp:extent cx="5715000" cy="395414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24"/>
                    <a:stretch>
                      <a:fillRect/>
                    </a:stretch>
                  </pic:blipFill>
                  <pic:spPr bwMode="auto">
                    <a:xfrm>
                      <a:off x="0" y="0"/>
                      <a:ext cx="5715000" cy="3954145"/>
                    </a:xfrm>
                    <a:prstGeom prst="rect">
                      <a:avLst/>
                    </a:prstGeom>
                  </pic:spPr>
                </pic:pic>
              </a:graphicData>
            </a:graphic>
          </wp:inline>
        </w:drawing>
      </w:r>
    </w:p>
    <w:p>
      <w:pPr>
        <w:pStyle w:val="Caption1"/>
        <w:jc w:val="center"/>
        <w:rPr/>
      </w:pPr>
      <w:r>
        <w:rPr/>
        <w:t>Figure 12. Covariance-only Markowitz versus SIM comparison, Specification C.</w:t>
      </w:r>
    </w:p>
    <w:p>
      <w:pPr>
        <w:pStyle w:val="Heading1"/>
        <w:rPr/>
      </w:pPr>
      <w:bookmarkStart w:id="11" w:name="__RefHeading___Toc6683_450176566"/>
      <w:bookmarkEnd w:id="11"/>
      <w:r>
        <w:rPr/>
        <w:t>11. Complete Markowitz versus SIM Comparison</w:t>
      </w:r>
    </w:p>
    <w:p>
      <w:pPr>
        <w:pStyle w:val="Normal"/>
        <w:rPr/>
      </w:pPr>
      <w:r>
        <w:rPr/>
        <w:t>Markowitz uses sample means and full covariance. SIM uses alpha/beta/premium expected returns and SIM covariance. This experiment combines covariance and expected-return effects. Comparing it with Section 10 isolates the additional effect of changing the expected-return model.</w:t>
      </w:r>
    </w:p>
    <w:p>
      <w:pPr>
        <w:pStyle w:val="Caption1"/>
        <w:jc w:val="center"/>
        <w:rPr/>
      </w:pPr>
      <w:r>
        <w:rPr/>
        <w:t>Table 15. Complete-model common-target frontier diagnostics</w:t>
      </w:r>
    </w:p>
    <w:tbl>
      <w:tblPr>
        <w:tblStyle w:val="TableGrid"/>
        <w:tblW w:w="9648"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206"/>
        <w:gridCol w:w="1206"/>
        <w:gridCol w:w="1206"/>
        <w:gridCol w:w="1206"/>
        <w:gridCol w:w="1206"/>
        <w:gridCol w:w="1206"/>
        <w:gridCol w:w="1206"/>
        <w:gridCol w:w="1204"/>
      </w:tblGrid>
      <w:tr>
        <w:trPr>
          <w:tblHeader w:val="true"/>
          <w:cantSplit w:val="true"/>
        </w:trPr>
        <w:tc>
          <w:tcPr>
            <w:tcW w:w="1206"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Specification</w:t>
            </w:r>
          </w:p>
        </w:tc>
        <w:tc>
          <w:tcPr>
            <w:tcW w:w="1206"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5"/>
                <w:szCs w:val="22"/>
                <w:lang w:val="en-US" w:eastAsia="en-US" w:bidi="ar-SA"/>
              </w:rPr>
              <w:t>Common targets</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Min SIM−Markowitz SD</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Max SIM−Markowitz SD</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Mean absolute SD difference</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MARKOWITZ</w:t>
            </w:r>
          </w:p>
        </w:tc>
        <w:tc>
          <w:tcPr>
            <w:tcW w:w="1206"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SIM</w:t>
            </w:r>
          </w:p>
        </w:tc>
        <w:tc>
          <w:tcPr>
            <w:tcW w:w="1204"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5"/>
                <w:szCs w:val="22"/>
                <w:lang w:val="en-US" w:eastAsia="en-US" w:bidi="ar-SA"/>
              </w:rPr>
              <w:t>TIE</w:t>
            </w:r>
          </w:p>
        </w:tc>
      </w:tr>
      <w:tr>
        <w:trPr>
          <w:cantSplit w:val="true"/>
        </w:trPr>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A</w:t>
            </w:r>
          </w:p>
        </w:tc>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-1.895%</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-0.409%</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1.606%</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80</w:t>
            </w:r>
          </w:p>
        </w:tc>
        <w:tc>
          <w:tcPr>
            <w:tcW w:w="1204"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r>
        <w:trPr>
          <w:cantSplit w:val="true"/>
        </w:trPr>
        <w:tc>
          <w:tcPr>
            <w:tcW w:w="1206"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B</w:t>
            </w:r>
          </w:p>
        </w:tc>
        <w:tc>
          <w:tcPr>
            <w:tcW w:w="1206"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-3.264%</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-1.389%</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2.314%</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c>
          <w:tcPr>
            <w:tcW w:w="1206"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80</w:t>
            </w:r>
          </w:p>
        </w:tc>
        <w:tc>
          <w:tcPr>
            <w:tcW w:w="1204"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r>
        <w:trPr>
          <w:cantSplit w:val="true"/>
        </w:trPr>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C</w:t>
            </w:r>
          </w:p>
        </w:tc>
        <w:tc>
          <w:tcPr>
            <w:tcW w:w="1206"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5"/>
                <w:szCs w:val="22"/>
                <w:lang w:val="en-US" w:eastAsia="en-US" w:bidi="ar-SA"/>
              </w:rPr>
              <w:t>80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-4.592%</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-3.692%</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4.213%</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c>
          <w:tcPr>
            <w:tcW w:w="1206"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80</w:t>
            </w:r>
          </w:p>
        </w:tc>
        <w:tc>
          <w:tcPr>
            <w:tcW w:w="1204"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5"/>
                <w:szCs w:val="22"/>
                <w:lang w:val="en-US" w:eastAsia="en-US" w:bidi="ar-SA"/>
              </w:rPr>
              <w:t>0</w:t>
            </w:r>
          </w:p>
        </w:tc>
      </w:tr>
    </w:tbl>
    <w:p>
      <w:pPr>
        <w:pStyle w:val="Normal"/>
        <w:spacing w:before="0" w:after="20"/>
        <w:rPr/>
      </w:pPr>
      <w:r>
        <w:rPr/>
      </w:r>
    </w:p>
    <w:p>
      <w:pPr>
        <w:pStyle w:val="Caption1"/>
        <w:jc w:val="center"/>
        <w:rPr/>
      </w:pPr>
      <w:r>
        <w:rPr/>
        <w:t>Table 16. Complete-model GMV and tangency comparison</w:t>
      </w:r>
    </w:p>
    <w:tbl>
      <w:tblPr>
        <w:tblStyle w:val="TableGrid"/>
        <w:tblW w:w="9646"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378"/>
        <w:gridCol w:w="1377"/>
        <w:gridCol w:w="1379"/>
        <w:gridCol w:w="1377"/>
        <w:gridCol w:w="1379"/>
        <w:gridCol w:w="1377"/>
        <w:gridCol w:w="1378"/>
      </w:tblGrid>
      <w:tr>
        <w:trPr>
          <w:tblHeader w:val="true"/>
          <w:cantSplit w:val="true"/>
        </w:trPr>
        <w:tc>
          <w:tcPr>
            <w:tcW w:w="137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Specification</w:t>
            </w:r>
          </w:p>
        </w:tc>
        <w:tc>
          <w:tcPr>
            <w:tcW w:w="137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Model</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Expected return</w:t>
            </w:r>
          </w:p>
        </w:tc>
        <w:tc>
          <w:tcPr>
            <w:tcW w:w="137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Volatility</w:t>
            </w:r>
          </w:p>
        </w:tc>
        <w:tc>
          <w:tcPr>
            <w:tcW w:w="137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Sharpe</w:t>
            </w:r>
          </w:p>
        </w:tc>
        <w:tc>
          <w:tcPr>
            <w:tcW w:w="137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Gross exposure</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2.49%</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2.83%</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-0.709</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2.008</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6.20%</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0.408</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1.015</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3.16%</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4.30%</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-0.313</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6.22%</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4.16%</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0.414</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11.07%</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11.94%</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0.550</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8.62%</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6.23%</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0.662</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1.000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6.50%</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7.93%</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0.253</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1.391</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8.09%</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7.38%</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0.487</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1.010</w:t>
            </w:r>
          </w:p>
        </w:tc>
      </w:tr>
      <w:tr>
        <w:trPr>
          <w:cantSplit w:val="true"/>
        </w:trPr>
        <w:tc>
          <w:tcPr>
            <w:tcW w:w="137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Markowitz</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8.34%</w:t>
            </w:r>
          </w:p>
        </w:tc>
        <w:tc>
          <w:tcPr>
            <w:tcW w:w="137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11.81%</w:t>
            </w:r>
          </w:p>
        </w:tc>
        <w:tc>
          <w:tcPr>
            <w:tcW w:w="137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0.325</w:t>
            </w:r>
          </w:p>
        </w:tc>
        <w:tc>
          <w:tcPr>
            <w:tcW w:w="137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1.388</w:t>
            </w:r>
          </w:p>
        </w:tc>
      </w:tr>
      <w:tr>
        <w:trPr>
          <w:cantSplit w:val="true"/>
        </w:trPr>
        <w:tc>
          <w:tcPr>
            <w:tcW w:w="137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37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Sim</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8.50%</w:t>
            </w:r>
          </w:p>
        </w:tc>
        <w:tc>
          <w:tcPr>
            <w:tcW w:w="137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7.79%</w:t>
            </w:r>
          </w:p>
        </w:tc>
        <w:tc>
          <w:tcPr>
            <w:tcW w:w="137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0.514</w:t>
            </w:r>
          </w:p>
        </w:tc>
        <w:tc>
          <w:tcPr>
            <w:tcW w:w="137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1.095</w:t>
            </w:r>
          </w:p>
        </w:tc>
      </w:tr>
    </w:tbl>
    <w:p>
      <w:pPr>
        <w:pStyle w:val="Normal"/>
        <w:spacing w:before="0" w:after="20"/>
        <w:rPr/>
      </w:pPr>
      <w:r>
        <w:rPr/>
      </w:r>
    </w:p>
    <w:p>
      <w:pPr>
        <w:pStyle w:val="Caption1"/>
        <w:jc w:val="center"/>
        <w:rPr/>
      </w:pPr>
      <w:r>
        <w:rPr/>
        <w:t>Table 17. Largest complete-model allocation differences</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1608"/>
        <w:gridCol w:w="1607"/>
        <w:gridCol w:w="1609"/>
        <w:gridCol w:w="1608"/>
        <w:gridCol w:w="1607"/>
        <w:gridCol w:w="1608"/>
      </w:tblGrid>
      <w:tr>
        <w:trPr>
          <w:tblHeader w:val="true"/>
          <w:cantSplit w:val="true"/>
        </w:trPr>
        <w:tc>
          <w:tcPr>
            <w:tcW w:w="1608"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Specification</w:t>
            </w:r>
          </w:p>
        </w:tc>
        <w:tc>
          <w:tcPr>
            <w:tcW w:w="1607"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Portfolio</w:t>
            </w:r>
          </w:p>
        </w:tc>
        <w:tc>
          <w:tcPr>
            <w:tcW w:w="1609"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Largest-changing asset</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Markowitz</w:t>
            </w:r>
          </w:p>
        </w:tc>
        <w:tc>
          <w:tcPr>
            <w:tcW w:w="1607"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SIM</w:t>
            </w:r>
          </w:p>
        </w:tc>
        <w:tc>
          <w:tcPr>
            <w:tcW w:w="1608" w:type="dxa"/>
            <w:tcBorders/>
            <w:shd w:fill="2F5597"/>
            <w:vAlign w:val="center"/>
          </w:tcPr>
          <w:p>
            <w:pPr>
              <w:pStyle w:val="Normal"/>
              <w:widowControl/>
              <w:spacing w:before="0" w:after="0"/>
              <w:jc w:val="right"/>
              <w:rPr>
                <w:rFonts w:eastAsia="ＭＳ 明朝" w:cs=""/>
                <w:kern w:val="0"/>
                <w:szCs w:val="22"/>
                <w:lang w:val="en-US" w:eastAsia="en-US" w:bidi="ar-SA"/>
              </w:rPr>
            </w:pPr>
            <w:r>
              <w:rPr>
                <w:rFonts w:eastAsia="ＭＳ 明朝" w:cs=""/>
                <w:b/>
                <w:color w:val="FFFFFF"/>
                <w:kern w:val="0"/>
                <w:sz w:val="17"/>
                <w:szCs w:val="22"/>
                <w:lang w:val="en-US" w:eastAsia="en-US" w:bidi="ar-SA"/>
              </w:rPr>
              <w:t>Absolute change</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AGG</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142.66%</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81.98%</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60.68%</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unavailable: NONATTAINED</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AGG</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93.93%</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81.85%</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12.09%</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B</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SPY</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63.50%</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20.43%</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43.07%</w:t>
            </w:r>
          </w:p>
        </w:tc>
      </w:tr>
      <w:tr>
        <w:trPr>
          <w:cantSplit w:val="true"/>
        </w:trPr>
        <w:tc>
          <w:tcPr>
            <w:tcW w:w="1608"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7"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GMV</w:t>
            </w:r>
          </w:p>
        </w:tc>
        <w:tc>
          <w:tcPr>
            <w:tcW w:w="1609"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EEM</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-17.69%</w:t>
            </w:r>
          </w:p>
        </w:tc>
        <w:tc>
          <w:tcPr>
            <w:tcW w:w="1607"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-0.51%</w:t>
            </w:r>
          </w:p>
        </w:tc>
        <w:tc>
          <w:tcPr>
            <w:tcW w:w="1608" w:type="dxa"/>
            <w:tcBorders/>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17.18%</w:t>
            </w:r>
          </w:p>
        </w:tc>
      </w:tr>
      <w:tr>
        <w:trPr>
          <w:cantSplit w:val="true"/>
        </w:trPr>
        <w:tc>
          <w:tcPr>
            <w:tcW w:w="1608"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C</w:t>
            </w:r>
          </w:p>
        </w:tc>
        <w:tc>
          <w:tcPr>
            <w:tcW w:w="1607"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tangency</w:t>
            </w:r>
          </w:p>
        </w:tc>
        <w:tc>
          <w:tcPr>
            <w:tcW w:w="1609"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AGG</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4.25%</w:t>
            </w:r>
          </w:p>
        </w:tc>
        <w:tc>
          <w:tcPr>
            <w:tcW w:w="1607"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20.00%</w:t>
            </w:r>
          </w:p>
        </w:tc>
        <w:tc>
          <w:tcPr>
            <w:tcW w:w="1608" w:type="dxa"/>
            <w:tcBorders/>
            <w:shd w:fill="EAF0F8"/>
            <w:vAlign w:val="center"/>
          </w:tcPr>
          <w:p>
            <w:pPr>
              <w:pStyle w:val="Normal"/>
              <w:widowControl/>
              <w:spacing w:before="0" w:after="0"/>
              <w:jc w:val="right"/>
              <w:rPr>
                <w:rFonts w:eastAsia="ＭＳ 明朝" w:cs=""/>
                <w:kern w:val="0"/>
                <w:szCs w:val="22"/>
                <w:lang w:val="en-US" w:eastAsia="en-US" w:bidi="ar-SA"/>
              </w:rPr>
            </w:pPr>
            <w:r>
              <w:rPr>
                <w:rFonts w:eastAsia="ＭＳ 明朝" w:cs=""/>
                <w:kern w:val="0"/>
                <w:sz w:val="17"/>
                <w:szCs w:val="22"/>
                <w:lang w:val="en-US" w:eastAsia="en-US" w:bidi="ar-SA"/>
              </w:rPr>
              <w:t>15.75%</w:t>
            </w:r>
          </w:p>
        </w:tc>
      </w:tr>
    </w:tbl>
    <w:p>
      <w:pPr>
        <w:pStyle w:val="Normal"/>
        <w:spacing w:before="0" w:after="20"/>
        <w:rPr/>
      </w:pPr>
      <w:r>
        <w:rPr/>
      </w:r>
    </w:p>
    <w:p>
      <w:pPr>
        <w:pStyle w:val="Normal"/>
        <w:keepNext w:val="true"/>
        <w:jc w:val="center"/>
        <w:rPr/>
      </w:pPr>
      <w:r>
        <w:rPr/>
        <w:drawing>
          <wp:inline distT="0" distB="0" distL="0" distR="0">
            <wp:extent cx="5715000" cy="39541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25"/>
                    <a:stretch>
                      <a:fillRect/>
                    </a:stretch>
                  </pic:blipFill>
                  <pic:spPr bwMode="auto">
                    <a:xfrm>
                      <a:off x="0" y="0"/>
                      <a:ext cx="5715000" cy="3954145"/>
                    </a:xfrm>
                    <a:prstGeom prst="rect">
                      <a:avLst/>
                    </a:prstGeom>
                  </pic:spPr>
                </pic:pic>
              </a:graphicData>
            </a:graphic>
          </wp:inline>
        </w:drawing>
      </w:r>
    </w:p>
    <w:p>
      <w:pPr>
        <w:pStyle w:val="Caption1"/>
        <w:jc w:val="center"/>
        <w:rPr/>
      </w:pPr>
      <w:r>
        <w:rPr/>
        <w:t>Figure 13. Complete-model Markowitz versus SIM comparison, Specification A.</w:t>
      </w:r>
    </w:p>
    <w:p>
      <w:pPr>
        <w:pStyle w:val="Normal"/>
        <w:keepNext w:val="true"/>
        <w:jc w:val="center"/>
        <w:rPr/>
      </w:pPr>
      <w:r>
        <w:rPr/>
        <w:drawing>
          <wp:inline distT="0" distB="0" distL="0" distR="0">
            <wp:extent cx="5715000" cy="395414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26"/>
                    <a:stretch>
                      <a:fillRect/>
                    </a:stretch>
                  </pic:blipFill>
                  <pic:spPr bwMode="auto">
                    <a:xfrm>
                      <a:off x="0" y="0"/>
                      <a:ext cx="5715000" cy="3954145"/>
                    </a:xfrm>
                    <a:prstGeom prst="rect">
                      <a:avLst/>
                    </a:prstGeom>
                  </pic:spPr>
                </pic:pic>
              </a:graphicData>
            </a:graphic>
          </wp:inline>
        </w:drawing>
      </w:r>
    </w:p>
    <w:p>
      <w:pPr>
        <w:pStyle w:val="Caption1"/>
        <w:jc w:val="center"/>
        <w:rPr/>
      </w:pPr>
      <w:r>
        <w:rPr/>
        <w:t>Figure 14. Complete-model Markowitz versus SIM comparison, Specification B.</w:t>
      </w:r>
    </w:p>
    <w:p>
      <w:pPr>
        <w:pStyle w:val="Normal"/>
        <w:keepNext w:val="true"/>
        <w:jc w:val="center"/>
        <w:rPr/>
      </w:pPr>
      <w:r>
        <w:rPr/>
        <w:drawing>
          <wp:inline distT="0" distB="0" distL="0" distR="0">
            <wp:extent cx="5715000" cy="39541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7"/>
                    <a:stretch>
                      <a:fillRect/>
                    </a:stretch>
                  </pic:blipFill>
                  <pic:spPr bwMode="auto">
                    <a:xfrm>
                      <a:off x="0" y="0"/>
                      <a:ext cx="5715000" cy="3954145"/>
                    </a:xfrm>
                    <a:prstGeom prst="rect">
                      <a:avLst/>
                    </a:prstGeom>
                  </pic:spPr>
                </pic:pic>
              </a:graphicData>
            </a:graphic>
          </wp:inline>
        </w:drawing>
      </w:r>
    </w:p>
    <w:p>
      <w:pPr>
        <w:pStyle w:val="Caption1"/>
        <w:jc w:val="center"/>
        <w:rPr/>
      </w:pPr>
      <w:r>
        <w:rPr/>
        <w:t>Figure 15. Complete-model Markowitz versus SIM comparison, Specification C.</w:t>
      </w:r>
    </w:p>
    <w:p>
      <w:pPr>
        <w:pStyle w:val="Heading1"/>
        <w:rPr/>
      </w:pPr>
      <w:bookmarkStart w:id="12" w:name="__RefHeading___Toc6685_450176566"/>
      <w:bookmarkEnd w:id="12"/>
      <w:r>
        <w:rPr/>
        <w:t>12. Covariance-Model Diagnostics</w:t>
      </w:r>
    </w:p>
    <w:p>
      <w:pPr>
        <w:pStyle w:val="Normal"/>
        <w:rPr/>
      </w:pPr>
      <w:r>
        <w:rPr/>
        <w:t>The monthly Frobenius norm of SIM minus full covariance is 0.00687156. Condition numbers are 607.64 for full covariance and 82.93 for SIM.</w:t>
      </w:r>
    </w:p>
    <w:p>
      <w:pPr>
        <w:pStyle w:val="Caption1"/>
        <w:jc w:val="center"/>
        <w:rPr/>
      </w:pPr>
      <w:r>
        <w:rPr/>
        <w:t>Table 18. Largest off-diagonal covariance discrepancies</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4824"/>
        <w:gridCol w:w="4823"/>
      </w:tblGrid>
      <w:tr>
        <w:trPr>
          <w:tblHeader w:val="true"/>
          <w:cantSplit w:val="true"/>
        </w:trPr>
        <w:tc>
          <w:tcPr>
            <w:tcW w:w="4824"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Pair</w:t>
            </w:r>
          </w:p>
        </w:tc>
        <w:tc>
          <w:tcPr>
            <w:tcW w:w="4823"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SIM − Markowitz monthly covariance</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USO/DBC</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-0.00420245</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TLT/USO</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+0.00144176</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EEM/GLD</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-0.00073252</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GLD/DBC</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-0.00071167</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EEM/USO</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-0.00071004</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TLT/DBC</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+0.00062706</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EEM/DBC</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-0.00062553</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EFA/EEM</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-0.00062098</w:t>
            </w:r>
          </w:p>
        </w:tc>
      </w:tr>
    </w:tbl>
    <w:p>
      <w:pPr>
        <w:pStyle w:val="Normal"/>
        <w:spacing w:before="0" w:after="20"/>
        <w:rPr/>
      </w:pPr>
      <w:r>
        <w:rPr/>
      </w:r>
    </w:p>
    <w:p>
      <w:pPr>
        <w:pStyle w:val="Caption1"/>
        <w:jc w:val="center"/>
        <w:rPr/>
      </w:pPr>
      <w:r>
        <w:rPr/>
        <w:t>Table 19. Largest correlation discrepancies</w:t>
      </w:r>
    </w:p>
    <w:tbl>
      <w:tblPr>
        <w:tblStyle w:val="TableGrid"/>
        <w:tblW w:w="9648"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4824"/>
        <w:gridCol w:w="4823"/>
      </w:tblGrid>
      <w:tr>
        <w:trPr>
          <w:tblHeader w:val="true"/>
          <w:cantSplit w:val="true"/>
        </w:trPr>
        <w:tc>
          <w:tcPr>
            <w:tcW w:w="4824"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Pair</w:t>
            </w:r>
          </w:p>
        </w:tc>
        <w:tc>
          <w:tcPr>
            <w:tcW w:w="4823" w:type="dxa"/>
            <w:tcBorders/>
            <w:shd w:fill="2F5597"/>
            <w:vAlign w:val="center"/>
          </w:tcPr>
          <w:p>
            <w:pPr>
              <w:pStyle w:val="Normal"/>
              <w:widowControl/>
              <w:spacing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SIM − Markowitz correlation</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TLT/AGG</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-0.8503</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USO/DBC</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-0.7093</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AGG/GLD</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-0.3517</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TLT/USO</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+0.3306</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TLT/DBC</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+0.2894</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AGG/USO</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+0.2776</w:t>
            </w:r>
          </w:p>
        </w:tc>
      </w:tr>
      <w:tr>
        <w:trPr>
          <w:cantSplit w:val="true"/>
        </w:trPr>
        <w:tc>
          <w:tcPr>
            <w:tcW w:w="4824"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TLT/GLD</w:t>
            </w:r>
          </w:p>
        </w:tc>
        <w:tc>
          <w:tcPr>
            <w:tcW w:w="4823" w:type="dxa"/>
            <w:tcBorders/>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-0.2659</w:t>
            </w:r>
          </w:p>
        </w:tc>
      </w:tr>
      <w:tr>
        <w:trPr>
          <w:cantSplit w:val="true"/>
        </w:trPr>
        <w:tc>
          <w:tcPr>
            <w:tcW w:w="4824"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GLD/DBC</w:t>
            </w:r>
          </w:p>
        </w:tc>
        <w:tc>
          <w:tcPr>
            <w:tcW w:w="4823" w:type="dxa"/>
            <w:tcBorders/>
            <w:shd w:fill="EAF0F8"/>
            <w:vAlign w:val="center"/>
          </w:tcPr>
          <w:p>
            <w:pPr>
              <w:pStyle w:val="Normal"/>
              <w:widowControl/>
              <w:spacing w:before="0" w:after="0"/>
              <w:jc w:val="left"/>
              <w:rPr>
                <w:rFonts w:eastAsia="ＭＳ 明朝" w:cs=""/>
                <w:kern w:val="0"/>
                <w:szCs w:val="22"/>
                <w:lang w:val="en-US" w:eastAsia="en-US" w:bidi="ar-SA"/>
              </w:rPr>
            </w:pPr>
            <w:r>
              <w:rPr>
                <w:rFonts w:eastAsia="ＭＳ 明朝" w:cs=""/>
                <w:kern w:val="0"/>
                <w:sz w:val="17"/>
                <w:szCs w:val="22"/>
                <w:lang w:val="en-US" w:eastAsia="en-US" w:bidi="ar-SA"/>
              </w:rPr>
              <w:t>-0.2638</w:t>
            </w:r>
          </w:p>
        </w:tc>
      </w:tr>
    </w:tbl>
    <w:p>
      <w:pPr>
        <w:pStyle w:val="Normal"/>
        <w:spacing w:before="0" w:after="20"/>
        <w:rPr/>
      </w:pPr>
      <w:r>
        <w:rPr/>
      </w:r>
    </w:p>
    <w:p>
      <w:pPr>
        <w:pStyle w:val="Normal"/>
        <w:rPr/>
      </w:pPr>
      <w:r>
        <w:rPr/>
        <w:t>Bonds, gold, oil, broad commodities, and international equities can have common influences that are not captured by SPY alone. Here that limitation is measured by the saved R² values and matrix discrepancies rather than asserted from asset labels alone.</w:t>
      </w:r>
    </w:p>
    <w:p>
      <w:pPr>
        <w:pStyle w:val="Heading1"/>
        <w:rPr/>
      </w:pPr>
      <w:bookmarkStart w:id="13" w:name="__RefHeading___Toc6687_450176566"/>
      <w:bookmarkEnd w:id="13"/>
      <w:r>
        <w:rPr/>
        <w:t>13. Answers to Assignment Analysis Questions</w:t>
      </w:r>
    </w:p>
    <w:p>
      <w:pPr>
        <w:pStyle w:val="Heading2"/>
        <w:rPr/>
      </w:pPr>
      <w:bookmarkStart w:id="14" w:name="__RefHeading___Toc6689_450176566"/>
      <w:bookmarkEnd w:id="14"/>
      <w:r>
        <w:rPr/>
        <w:t>Question 1. What diversification benefit comes from bonds, gold, oil, and broad commodities?</w:t>
      </w:r>
    </w:p>
    <w:p>
      <w:pPr>
        <w:pStyle w:val="Normal"/>
        <w:rPr/>
      </w:pPr>
      <w:r>
        <w:rPr/>
        <w:t>Bonds produce the largest GMV reduction: 15.17% falls to 4.53%. Gold raises maximum Sharpe to 0.568. Oil and DBC lower all-asset GMV volatility to 4.29%, with no displayed Sharpe improvement.</w:t>
      </w:r>
    </w:p>
    <w:p>
      <w:pPr>
        <w:pStyle w:val="Heading2"/>
        <w:rPr/>
      </w:pPr>
      <w:bookmarkStart w:id="15" w:name="__RefHeading___Toc6691_450176566"/>
      <w:bookmarkEnd w:id="15"/>
      <w:r>
        <w:rPr/>
        <w:t>Question 2. What is the effect of allowing short sales?</w:t>
      </w:r>
    </w:p>
    <w:p>
      <w:pPr>
        <w:pStyle w:val="Normal"/>
        <w:rPr/>
      </w:pPr>
      <w:r>
        <w:rPr/>
        <w:t>Unrestricted A attains the lowest GMV risk but uses larger gross exposure and has no finite full-sample Markowitz tangency portfolio. Short sales enlarge the opportunity set while making allocations more sensitive to estimated inputs.</w:t>
      </w:r>
    </w:p>
    <w:p>
      <w:pPr>
        <w:pStyle w:val="Heading2"/>
        <w:rPr/>
      </w:pPr>
      <w:bookmarkStart w:id="16" w:name="__RefHeading___Toc6693_450176566"/>
      <w:bookmarkEnd w:id="16"/>
      <w:r>
        <w:rPr/>
        <w:t>Question 3. What is the effect of ±20% bounds?</w:t>
      </w:r>
    </w:p>
    <w:p>
      <w:pPr>
        <w:pStyle w:val="Normal"/>
        <w:rPr/>
      </w:pPr>
      <w:r>
        <w:rPr/>
        <w:t>C caps concentration and leverage, raises GMV volatility relative to A/B, and places several assets at +20%. Its geometry requires broad long exposure because eight capped positions must sum to one.</w:t>
      </w:r>
    </w:p>
    <w:p>
      <w:pPr>
        <w:pStyle w:val="Heading2"/>
        <w:rPr/>
      </w:pPr>
      <w:bookmarkStart w:id="17" w:name="__RefHeading___Toc6695_450176566"/>
      <w:bookmarkEnd w:id="17"/>
      <w:r>
        <w:rPr/>
        <w:t>Question 4. How do pre- and post-COVID covariance structures differ?</w:t>
      </w:r>
    </w:p>
    <w:p>
      <w:pPr>
        <w:pStyle w:val="Normal"/>
        <w:rPr/>
      </w:pPr>
      <w:r>
        <w:rPr/>
        <w:t>The largest saved changes involve USO/DBC covariance and equity/bond correlations. Post-COVID GMV volatility is 5.36% versus 3.50% pre-COVID, but the shorter post sample increases uncertainty.</w:t>
      </w:r>
    </w:p>
    <w:p>
      <w:pPr>
        <w:pStyle w:val="Heading2"/>
        <w:rPr/>
      </w:pPr>
      <w:bookmarkStart w:id="18" w:name="__RefHeading___Toc6697_450176566"/>
      <w:bookmarkEnd w:id="18"/>
      <w:r>
        <w:rPr/>
        <w:t>Question 5. How sensitive are tangency and GMV weights to expected returns?</w:t>
      </w:r>
    </w:p>
    <w:p>
      <w:pPr>
        <w:pStyle w:val="Normal"/>
        <w:rPr/>
      </w:pPr>
      <w:r>
        <w:rPr/>
        <w:t>Across pre/post samples, tangency L1 weight change is 1.235 versus 0.231 for GMV. This computed contrast is consistent with tangency weights depending directly on expected returns while GMV depends on covariance.</w:t>
      </w:r>
    </w:p>
    <w:p>
      <w:pPr>
        <w:pStyle w:val="Heading2"/>
        <w:rPr/>
      </w:pPr>
      <w:bookmarkStart w:id="19" w:name="__RefHeading___Toc6699_450176566"/>
      <w:bookmarkEnd w:id="19"/>
      <w:r>
        <w:rPr/>
        <w:t>Question 6. How good is the SIM approximation?</w:t>
      </w:r>
    </w:p>
    <w:p>
      <w:pPr>
        <w:pStyle w:val="Normal"/>
        <w:rPr/>
      </w:pPr>
      <w:r>
        <w:rPr/>
        <w:t>It is strongest for assets with high saved R² and weakest for GLD (R²=0.006), TLT (R²=0.006), AGG (R²=0.061). The matrix discrepancies in Tables 18 and 19 quantify approximation error.</w:t>
      </w:r>
    </w:p>
    <w:p>
      <w:pPr>
        <w:pStyle w:val="Heading2"/>
        <w:rPr/>
      </w:pPr>
      <w:bookmarkStart w:id="20" w:name="__RefHeading___Toc6701_450176566"/>
      <w:bookmarkEnd w:id="20"/>
      <w:r>
        <w:rPr/>
        <w:t>Question 7. Where are the SIM and Markowitz frontiers relative to each other?</w:t>
      </w:r>
    </w:p>
    <w:p>
      <w:pPr>
        <w:pStyle w:val="Normal"/>
        <w:rPr/>
      </w:pPr>
      <w:r>
        <w:rPr/>
        <w:t>They cross in covariance-only A: Markowitz has lower risk at 33 targets and SIM at 47. B and C favor SIM at most saved common targets in this in-sample comparison. No overall winner is assigned.</w:t>
      </w:r>
    </w:p>
    <w:p>
      <w:pPr>
        <w:pStyle w:val="Heading2"/>
        <w:rPr/>
      </w:pPr>
      <w:bookmarkStart w:id="21" w:name="__RefHeading___Toc6703_450176566"/>
      <w:bookmarkEnd w:id="21"/>
      <w:r>
        <w:rPr/>
        <w:t>Question 8. What are the practical limitations of SPY as the sole common factor?</w:t>
      </w:r>
    </w:p>
    <w:p>
      <w:pPr>
        <w:pStyle w:val="Normal"/>
        <w:rPr/>
      </w:pPr>
      <w:r>
        <w:rPr/>
        <w:t>A single US equity factor cannot reproduce residual cross-covariances. Low R² for several defensive and real-asset ETFs and the observed covariance/correlation discrepancies show where that assumption is restrictive in this sample.</w:t>
      </w:r>
    </w:p>
    <w:p>
      <w:pPr>
        <w:pStyle w:val="Heading1"/>
        <w:rPr/>
      </w:pPr>
      <w:bookmarkStart w:id="22" w:name="__RefHeading___Toc6705_450176566"/>
      <w:bookmarkEnd w:id="22"/>
      <w:r>
        <w:rPr/>
        <w:t>14. Practical Interpretation and Limitations</w:t>
      </w:r>
    </w:p>
    <w:p>
      <w:pPr>
        <w:pStyle w:val="Normal"/>
        <w:rPr/>
      </w:pPr>
      <w:r>
        <w:rPr/>
        <w:t>Sample means are noisy, so tangency weights can be unstable. GMV is less directly exposed to mean error but remains sensitive to covariance estimation. Unrestricted leverage can be impractical, and constraints change both attainable returns and which estimates drive allocations. The post-COVID sample is short. SIM is parsimonious but omits common factors beyond SPY. All conclusions are in-sample and do not establish future performance.</w:t>
      </w:r>
    </w:p>
    <w:p>
      <w:pPr>
        <w:pStyle w:val="Heading1"/>
        <w:rPr/>
      </w:pPr>
      <w:bookmarkStart w:id="23" w:name="__RefHeading___Toc6707_450176566"/>
      <w:bookmarkEnd w:id="23"/>
      <w:r>
        <w:rPr/>
        <w:t>15. Conclusion</w:t>
      </w:r>
    </w:p>
    <w:p>
      <w:pPr>
        <w:pStyle w:val="Normal"/>
        <w:rPr/>
      </w:pPr>
      <w:r>
        <w:rPr/>
        <w:t>The results show substantial diversification from bonds and a Sharpe improvement from gold. Constraints trade theoretical opportunity-set breadth for implementability. Pre/post estimates differ materially, especially for commodity and equity/bond relationships. SIM offers a structured covariance estimate but changes frontiers and weights because its one-factor restriction omits residual co-movement. The most aggressive theoretical solution is therefore not automatically the most economically usable one.</w:t>
      </w:r>
    </w:p>
    <w:p>
      <w:pPr>
        <w:pStyle w:val="Heading1"/>
        <w:rPr/>
      </w:pPr>
      <w:bookmarkStart w:id="24" w:name="__RefHeading___Toc6709_450176566"/>
      <w:bookmarkEnd w:id="24"/>
      <w:r>
        <w:rPr/>
        <w:t>Appendix A. Provenance and Reproducibility</w:t>
      </w:r>
    </w:p>
    <w:p>
      <w:pPr>
        <w:pStyle w:val="ListBullet"/>
        <w:numPr>
          <w:ilvl w:val="0"/>
          <w:numId w:val="1"/>
        </w:numPr>
        <w:rPr/>
      </w:pPr>
      <w:r>
        <w:rPr/>
        <w:t xml:space="preserve">Production run ID: </w:t>
      </w:r>
      <w:r>
        <w:rPr>
          <w:rFonts w:ascii="Cambria Math" w:hAnsi="Cambria Math"/>
          <w:i/>
        </w:rPr>
        <w:t>20260921T172426819558Z_2ebe0baf</w:t>
      </w:r>
      <w:r>
        <w:rPr/>
        <w:t>.</w:t>
      </w:r>
    </w:p>
    <w:p>
      <w:pPr>
        <w:pStyle w:val="ListBullet"/>
        <w:numPr>
          <w:ilvl w:val="0"/>
          <w:numId w:val="1"/>
        </w:numPr>
        <w:rPr/>
      </w:pPr>
      <w:r>
        <w:rPr/>
        <w:t xml:space="preserve">Git commit: </w:t>
      </w:r>
      <w:r>
        <w:rPr>
          <w:rFonts w:ascii="Cambria Math" w:hAnsi="Cambria Math"/>
          <w:i/>
        </w:rPr>
        <w:t>10ceebd95f6b52919e281743835f53527b0b3f5f</w:t>
      </w:r>
      <w:r>
        <w:rPr/>
        <w:t>.</w:t>
      </w:r>
    </w:p>
    <w:p>
      <w:pPr>
        <w:pStyle w:val="ListBullet"/>
        <w:numPr>
          <w:ilvl w:val="0"/>
          <w:numId w:val="1"/>
        </w:numPr>
        <w:rPr/>
      </w:pPr>
      <w:r>
        <w:rPr/>
        <w:t xml:space="preserve">Configuration snapshot: </w:t>
      </w:r>
      <w:r>
        <w:rPr>
          <w:rFonts w:ascii="Cambria Math" w:hAnsi="Cambria Math"/>
          <w:i/>
        </w:rPr>
        <w:t>config_snapshot.yaml</w:t>
      </w:r>
      <w:r>
        <w:rPr/>
        <w:t>.</w:t>
      </w:r>
    </w:p>
    <w:p>
      <w:pPr>
        <w:pStyle w:val="ListBullet"/>
        <w:numPr>
          <w:ilvl w:val="0"/>
          <w:numId w:val="1"/>
        </w:numPr>
        <w:rPr/>
      </w:pPr>
      <w:r>
        <w:rPr/>
        <w:t>Data sources: Yahoo Finance adjusted prices and Fama–French monthly RF.</w:t>
      </w:r>
    </w:p>
    <w:p>
      <w:pPr>
        <w:pStyle w:val="ListBullet"/>
        <w:numPr>
          <w:ilvl w:val="0"/>
          <w:numId w:val="1"/>
        </w:numPr>
        <w:rPr/>
      </w:pPr>
      <w:r>
        <w:rPr/>
        <w:t>CAL/tangency RF: 4.50% annual.</w:t>
      </w:r>
    </w:p>
    <w:p>
      <w:pPr>
        <w:pStyle w:val="ListBullet"/>
        <w:numPr>
          <w:ilvl w:val="0"/>
          <w:numId w:val="1"/>
        </w:numPr>
        <w:rPr/>
      </w:pPr>
      <w:r>
        <w:rPr/>
        <w:t>SIM market-premium assumption: 6.00% annual.</w:t>
      </w:r>
    </w:p>
    <w:p>
      <w:pPr>
        <w:pStyle w:val="ListBullet"/>
        <w:numPr>
          <w:ilvl w:val="0"/>
          <w:numId w:val="1"/>
        </w:numPr>
        <w:rPr/>
      </w:pPr>
      <w:r>
        <w:rPr/>
        <w:t>Solvers: CLARABEL for quadratic programs and SLSQP for constrained tangency.</w:t>
      </w:r>
    </w:p>
    <w:p>
      <w:pPr>
        <w:pStyle w:val="ListBullet"/>
        <w:numPr>
          <w:ilvl w:val="0"/>
          <w:numId w:val="1"/>
        </w:numPr>
        <w:rPr/>
      </w:pPr>
      <w:r>
        <w:rPr/>
        <w:t>Constraint tolerance: 1e-07; PSD tolerance: 1e-10; frontier tie tolerance: 1e-08 annual SD.</w:t>
      </w:r>
    </w:p>
    <w:p>
      <w:pPr>
        <w:pStyle w:val="ListBullet"/>
        <w:numPr>
          <w:ilvl w:val="0"/>
          <w:numId w:val="1"/>
        </w:numPr>
        <w:rPr/>
      </w:pPr>
      <w:r>
        <w:rPr/>
        <w:t>Pytest result: 81 passed in 116.08s.</w:t>
      </w:r>
    </w:p>
    <w:p>
      <w:pPr>
        <w:pStyle w:val="ListBullet"/>
        <w:numPr>
          <w:ilvl w:val="0"/>
          <w:numId w:val="1"/>
        </w:numPr>
        <w:rPr/>
      </w:pPr>
      <w:r>
        <w:rPr/>
        <w:t>Internal production output validation: PASSED.</w:t>
      </w:r>
    </w:p>
    <w:p>
      <w:pPr>
        <w:pStyle w:val="Normal"/>
        <w:widowControl/>
        <w:bidi w:val="0"/>
        <w:spacing w:lineRule="auto" w:line="268" w:before="0" w:after="100"/>
        <w:jc w:val="left"/>
        <w:rPr/>
      </w:pPr>
      <w:r>
        <w:rPr/>
        <w:t>This report was generated from the frozen run artifacts after numerical output validation. It does not perform portfolio estimation or optimization.</w:t>
      </w:r>
    </w:p>
    <w:sectPr>
      <w:footerReference w:type="default" r:id="rId28"/>
      <w:type w:val="nextPage"/>
      <w:pgSz w:w="12240" w:h="15840"/>
      <w:pgMar w:left="1296" w:right="1296" w:gutter="0" w:header="0" w:top="1152" w:footer="504"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15</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16</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18</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19</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20</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21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BUFN741 Assignment 2  •  </w:t>
    </w:r>
    <w:r>
      <w:rPr/>
      <w:fldChar w:fldCharType="begin"/>
    </w:r>
    <w:r>
      <w:rPr/>
      <w:instrText xml:space="preserve"> PAGE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00" w:after="10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597"/>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200" w:after="100"/>
      <w:contextualSpacing/>
    </w:pPr>
    <w:rPr>
      <w:rFonts w:ascii="Calibri" w:hAnsi="Calibri"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keepNext w:val="true"/>
      <w:spacing w:before="200" w:after="100"/>
    </w:pPr>
    <w:rPr>
      <w:rFonts w:ascii="Calibri" w:hAnsi="Calibri" w:eastAsia="ＭＳ ゴシック" w:cs="" w:asciiTheme="majorHAnsi" w:cstheme="majorBidi" w:eastAsiaTheme="majorEastAsia" w:hAnsiTheme="majorHAnsi"/>
      <w:b w:val="false"/>
      <w:i/>
      <w:iCs/>
      <w:color w:val="44546A"/>
      <w:spacing w:val="15"/>
      <w:sz w:val="30"/>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left="720" w:hanging="360"/>
      <w:contextualSpacing/>
    </w:pPr>
    <w:rPr/>
  </w:style>
  <w:style w:type="paragraph" w:styleId="List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00"/>
      <w:contextualSpacing/>
    </w:pPr>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before="0" w:after="100"/>
      <w:contextualSpacing/>
    </w:pPr>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keepNext w:val="true"/>
      <w:spacing w:lineRule="auto" w:line="240"/>
    </w:pPr>
    <w:rPr>
      <w:rFonts w:ascii="Arial" w:hAnsi="Arial"/>
      <w:b/>
      <w:bCs/>
      <w:color w:val="40404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Equation" w:customStyle="1">
    <w:name w:val="Equation"/>
    <w:qFormat/>
    <w:pPr>
      <w:widowControl/>
      <w:bidi w:val="0"/>
      <w:spacing w:lineRule="auto" w:line="276" w:before="100" w:after="140"/>
      <w:jc w:val="center"/>
    </w:pPr>
    <w:rPr>
      <w:rFonts w:ascii="Cambria Math" w:hAnsi="Cambria Math" w:eastAsia="ＭＳ 明朝" w:cs="" w:cstheme="minorBidi" w:eastAsiaTheme="minorEastAsia"/>
      <w:color w:val="auto"/>
      <w:kern w:val="0"/>
      <w:sz w:val="22"/>
      <w:szCs w:val="22"/>
      <w:lang w:val="en-US" w:eastAsia="en-US" w:bidi="ar-SA"/>
    </w:rPr>
  </w:style>
  <w:style w:type="paragraph" w:styleId="Contents1">
    <w:name w:val="TOC 1"/>
    <w:basedOn w:val="Index"/>
    <w:pPr>
      <w:tabs>
        <w:tab w:val="clear" w:pos="720"/>
        <w:tab w:val="right" w:pos="9648" w:leader="dot"/>
      </w:tabs>
      <w:ind w:left="0" w:hanging="0"/>
    </w:pPr>
    <w:rPr/>
  </w:style>
  <w:style w:type="paragraph" w:styleId="Contents2">
    <w:name w:val="TOC 2"/>
    <w:basedOn w:val="Index"/>
    <w:pPr>
      <w:tabs>
        <w:tab w:val="clear" w:pos="720"/>
        <w:tab w:val="right" w:pos="9365"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image6.png"/><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footer" Target="footer12.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36</Pages>
  <Words>2960</Words>
  <Characters>16847</Characters>
  <CharactersWithSpaces>18729</CharactersWithSpaces>
  <Paragraphs>1088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from validated frozen production-run Markdown.</dc:description>
  <dc:language>en-US</dc:language>
  <cp:lastModifiedBy/>
  <dcterms:modified xsi:type="dcterms:W3CDTF">2026-09-21T13:37:33Z</dcterms:modified>
  <cp:revision>2</cp:revision>
  <dc:subject>Multi-Asset Portfolio Optimization: Markowitz and Single-Index Models</dc:subject>
  <dc:title>BUFN741 Group Assignment 2</dc:title>
</cp:coreProperties>
</file>

<file path=docProps/custom.xml><?xml version="1.0" encoding="utf-8"?>
<Properties xmlns="http://schemas.openxmlformats.org/officeDocument/2006/custom-properties" xmlns:vt="http://schemas.openxmlformats.org/officeDocument/2006/docPropsVTypes"/>
</file>