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5.png" ContentType="image/png"/>
  <Override PartName="/word/media/rId3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assignment-3-canonical-final-report"/>
    <w:p>
      <w:pPr>
        <w:pStyle w:val="Heading1"/>
      </w:pPr>
      <w:r>
        <w:t xml:space="preserve">Assignment 3 Canonical Final Report</w:t>
      </w:r>
    </w:p>
    <w:p>
      <w:pPr>
        <w:pStyle w:val="BlockText"/>
      </w:pPr>
      <w:r>
        <w:rPr>
          <w:b/>
          <w:bCs/>
        </w:rPr>
        <w:t xml:space="preserve">Status.</w:t>
      </w:r>
      <w:r>
        <w:t xml:space="preserve"> </w:t>
      </w:r>
      <w:r>
        <w:t xml:space="preserve">This is the frozen canonical-production report. Every empirical claim is derived from the fresh canonical run. All returns, alphas, and lambdas shown in prose and tables are monthly percentage points; underlying CSV files remain in decimal-return units unless their column name explicitly ends in</w:t>
      </w:r>
      <w:r>
        <w:t xml:space="preserve"> </w:t>
      </w:r>
      <w:r>
        <w:rPr>
          <w:rStyle w:val="VerbatimChar"/>
        </w:rPr>
        <w:t xml:space="preserve">_pct_month</w:t>
      </w:r>
      <w:r>
        <w:t xml:space="preserve">.</w:t>
      </w:r>
    </w:p>
    <w:bookmarkStart w:id="13" w:name="X102b2e9de4183984340b81b0bb402a984d3925a"/>
    <w:p>
      <w:pPr>
        <w:pStyle w:val="Heading2"/>
      </w:pPr>
      <w:r>
        <w:t xml:space="preserve">1. Executive Summary</w:t>
      </w:r>
    </w:p>
    <w:p>
      <w:pPr>
        <w:numPr>
          <w:ilvl w:val="0"/>
          <w:numId w:val="1001"/>
        </w:numPr>
      </w:pPr>
      <w:r>
        <w:rPr>
          <w:b/>
          <w:bCs/>
        </w:rPr>
        <w:t xml:space="preserve">CAPM provides little long-run cross-sectional explanation for most 5×5 families.</w:t>
      </w:r>
      <w:r>
        <w:t xml:space="preserve"> </w:t>
      </w:r>
      <w:r>
        <w:t xml:space="preserve">Its mean cross-sectional R² is 0.093 in July 1963–December 2010 and 0.183 after 2010. For Size × Book-to-Market specifically, R² is only 0.078 earlier and 0.008 post-GFC; the latter is effectively zero despite economically large corner-portfolio errors.</w:t>
      </w:r>
    </w:p>
    <w:p>
      <w:pPr>
        <w:numPr>
          <w:ilvl w:val="0"/>
          <w:numId w:val="1001"/>
        </w:numPr>
      </w:pPr>
      <w:r>
        <w:rPr>
          <w:b/>
          <w:bCs/>
        </w:rPr>
        <w:t xml:space="preserve">FF3 and especially FF5 improve fit broadly, not just in a few families.</w:t>
      </w:r>
      <w:r>
        <w:t xml:space="preserve"> </w:t>
      </w:r>
      <w:r>
        <w:t xml:space="preserve">Both models raise R² relative to CAPM in all 11 families in each sample. Mean R² rises from 0.093 to 0.687 and 0.808 earlier, and from 0.183 to 0.381 and 0.508 post-GFC. Mean absolute pricing error falls from 0.190% to 0.080% per month earlier, but only from 0.118% to 0.098% post-GFC.</w:t>
      </w:r>
    </w:p>
    <w:p>
      <w:pPr>
        <w:numPr>
          <w:ilvl w:val="0"/>
          <w:numId w:val="1001"/>
        </w:numPr>
      </w:pPr>
      <w:r>
        <w:rPr>
          <w:b/>
          <w:bCs/>
        </w:rPr>
        <w:t xml:space="preserve">The incremental HML evidence inside FF5 is strongly test-asset and period dependent.</w:t>
      </w:r>
      <w:r>
        <w:t xml:space="preserve"> </w:t>
      </w:r>
      <w:r>
        <w:t xml:space="preserve">Earlier, HML is positive in 8/11 families and conventionally significant in 3/11; its median incremental R² is 0.018. Post-GFC it is positive in only 4/11 and significant in 1/11, although some families still obtain substantial incremental fit. That pattern does not support a universal redundancy claim.</w:t>
      </w:r>
    </w:p>
    <w:p>
      <w:pPr>
        <w:numPr>
          <w:ilvl w:val="0"/>
          <w:numId w:val="1001"/>
        </w:numPr>
      </w:pPr>
      <w:r>
        <w:rPr>
          <w:b/>
          <w:bCs/>
        </w:rPr>
        <w:t xml:space="preserve">Fama–MacBeth prices are much less precise than the full-sample two-pass fits might suggest.</w:t>
      </w:r>
      <w:r>
        <w:t xml:space="preserve"> </w:t>
      </w:r>
      <w:r>
        <w:t xml:space="preserve">In specification 8, the earlier combined-univariate RMW price is 0.181% per month (FM t = 2.01), while the earlier industry HML price is 0.238% (t = 1.98). None of the five post-GFC factor prices has |t| near 1.96 in either universe. The result depends on the cross-sectional beta variation supplied by the test assets.</w:t>
      </w:r>
    </w:p>
    <w:p>
      <w:pPr>
        <w:numPr>
          <w:ilvl w:val="0"/>
          <w:numId w:val="1001"/>
        </w:numPr>
      </w:pPr>
      <w:r>
        <w:rPr>
          <w:b/>
          <w:bCs/>
        </w:rPr>
        <w:t xml:space="preserve">Estimated monthly factor prices are extremely noisy and frequently change sign.</w:t>
      </w:r>
      <w:r>
        <w:t xml:space="preserve"> </w:t>
      </w:r>
      <w:r>
        <w:t xml:space="preserve">Specification-8 MKT lambda standard deviations range from 4.57% to 5.44% per month across the four universe/sample panels, versus means between 0.002% and 0.426%. Positive shares are generally close to one half. Extreme months are reported without assigning causal stories.</w:t>
      </w:r>
    </w:p>
    <w:p>
      <w:pPr>
        <w:numPr>
          <w:ilvl w:val="0"/>
          <w:numId w:val="1001"/>
        </w:numPr>
      </w:pPr>
      <w:r>
        <w:rPr>
          <w:b/>
          <w:bCs/>
        </w:rPr>
        <w:t xml:space="preserve">The selected time-series universe is Size × Momentum.</w:t>
      </w:r>
      <w:r>
        <w:t xml:space="preserve"> </w:t>
      </w:r>
      <w:r>
        <w:t xml:space="preserve">In the earlier sample, CAPM leaves a pronounced low-to-high momentum alpha pattern, and GRS rejects every model at p &lt; 1.4×10⁻¹⁰. Post-GFC evidence is borderline and model dependent: CAPM p = 0.0637, FF3 p = 0.0489, and FF5 p = 0.0565.</w:t>
      </w:r>
    </w:p>
    <w:p>
      <w:pPr>
        <w:numPr>
          <w:ilvl w:val="0"/>
          <w:numId w:val="1001"/>
        </w:numPr>
      </w:pPr>
      <w:r>
        <w:rPr>
          <w:b/>
          <w:bCs/>
        </w:rPr>
        <w:t xml:space="preserve">The three frameworks answer different questions.</w:t>
      </w:r>
      <w:r>
        <w:t xml:space="preserve"> </w:t>
      </w:r>
      <w:r>
        <w:t xml:space="preserve">FF5 can deliver high cross-sectional R² while still failing the earlier GRS joint-alpha restriction, and volatile monthly lambdas can make FM average prices imprecise even where full-period beta sorts fit average returns well.</w:t>
      </w:r>
    </w:p>
    <w:p>
      <w:pPr>
        <w:pStyle w:val="FirstParagraph"/>
      </w:pPr>
      <w:r>
        <w:rPr>
          <w:i/>
          <w:iCs/>
        </w:rPr>
        <w:t xml:space="preserve">Sources:</w:t>
      </w:r>
      <w:r>
        <w:rPr>
          <w:i/>
          <w:iCs/>
        </w:rPr>
        <w:t xml:space="preserve"> </w:t>
      </w:r>
      <w:hyperlink r:id="rId9">
        <w:r>
          <w:rPr>
            <w:rStyle w:val="Hyperlink"/>
            <w:i/>
            <w:iCs/>
          </w:rPr>
          <w:t xml:space="preserve">cross-family fit</w:t>
        </w:r>
      </w:hyperlink>
      <w:r>
        <w:rPr>
          <w:i/>
          <w:iCs/>
        </w:rPr>
        <w:t xml:space="preserve">,</w:t>
      </w:r>
      <w:r>
        <w:rPr>
          <w:i/>
          <w:iCs/>
        </w:rPr>
        <w:t xml:space="preserve"> </w:t>
      </w:r>
      <w:hyperlink r:id="rId10">
        <w:r>
          <w:rPr>
            <w:rStyle w:val="Hyperlink"/>
            <w:i/>
            <w:iCs/>
          </w:rPr>
          <w:t xml:space="preserve">FM summary</w:t>
        </w:r>
      </w:hyperlink>
      <w:r>
        <w:rPr>
          <w:i/>
          <w:iCs/>
        </w:rPr>
        <w:t xml:space="preserve">,</w:t>
      </w:r>
      <w:r>
        <w:rPr>
          <w:i/>
          <w:iCs/>
        </w:rPr>
        <w:t xml:space="preserve"> </w:t>
      </w:r>
      <w:hyperlink r:id="rId11">
        <w:r>
          <w:rPr>
            <w:rStyle w:val="Hyperlink"/>
            <w:i/>
            <w:iCs/>
          </w:rPr>
          <w:t xml:space="preserve">lambda diagnostics</w:t>
        </w:r>
      </w:hyperlink>
      <w:r>
        <w:rPr>
          <w:i/>
          <w:iCs/>
        </w:rPr>
        <w:t xml:space="preserve">, and</w:t>
      </w:r>
      <w:r>
        <w:rPr>
          <w:i/>
          <w:iCs/>
        </w:rPr>
        <w:t xml:space="preserve"> </w:t>
      </w:r>
      <w:hyperlink r:id="rId12">
        <w:r>
          <w:rPr>
            <w:rStyle w:val="Hyperlink"/>
            <w:i/>
            <w:iCs/>
          </w:rPr>
          <w:t xml:space="preserve">GRS results</w:t>
        </w:r>
      </w:hyperlink>
      <w:r>
        <w:rPr>
          <w:i/>
          <w:iCs/>
        </w:rPr>
        <w:t xml:space="preserve">.</w:t>
      </w:r>
    </w:p>
    <w:bookmarkEnd w:id="13"/>
    <w:bookmarkStart w:id="14" w:name="X754a29f7464e255c837c42aa433f6b8e2618645"/>
    <w:p>
      <w:pPr>
        <w:pStyle w:val="Heading2"/>
      </w:pPr>
      <w:r>
        <w:t xml:space="preserve">2. Data, Models, and Samples</w:t>
      </w:r>
    </w:p>
    <w:p>
      <w:pPr>
        <w:pStyle w:val="FirstParagraph"/>
      </w:pPr>
      <w:r>
        <w:t xml:space="preserve">The test assets are eleven value-weighted 25-portfolio Size × Characteristic families, a combined set of 80 univariate characteristic portfolios, and 49 value-weighted industries. CAPM uses MKT; FF3 uses MKT, SMB, and HML; FF5 adds RMW and CMA. MKT is already the market excess return. Every asset return is converted from percent to decimal once and then reduced by RF once in the processed-data layer.</w:t>
      </w:r>
    </w:p>
    <w:p>
      <w:pPr>
        <w:pStyle w:val="BodyText"/>
      </w:pPr>
      <w:r>
        <w:t xml:space="preserve">The headline earlier sample is July 1963–December 2010 (570 months); the post-GFC sample is January 2011–August 2026 (188 months), the audited latest common endpoint. FM betas require 36 complete months, so the earlier second-stage return sample is July 1966–December 2010 (534 months). The post-GFC FM sample begins in January 2011 because the December 2010 beta legitimately uses January 2008–December 2010 history.</w:t>
      </w:r>
    </w:p>
    <w:bookmarkEnd w:id="14"/>
    <w:bookmarkStart w:id="23" w:name="Xbd488b88c373c14db133b3b5c14d6cf6bfe6f03"/>
    <w:p>
      <w:pPr>
        <w:pStyle w:val="Heading2"/>
      </w:pPr>
      <w:r>
        <w:t xml:space="preserve">3. Two-Pass Cross-Sectional Asset-Pricing Evidence</w:t>
      </w:r>
    </w:p>
    <w:bookmarkStart w:id="19" w:name="Xe6cea386b62ececd2c6c2426358e6d0973c44b7"/>
    <w:p>
      <w:pPr>
        <w:pStyle w:val="Heading3"/>
      </w:pPr>
      <w:r>
        <w:t xml:space="preserve">3.1 Representative Size × Book-to-Market comparison</w:t>
      </w:r>
    </w:p>
    <w:p>
      <w:pPr>
        <w:pStyle w:val="FirstParagraph"/>
      </w:pPr>
      <w:r>
        <w:drawing>
          <wp:inline>
            <wp:extent cx="5334000" cy="4520338"/>
            <wp:effectExtent b="0" l="0" r="0" t="0"/>
            <wp:docPr descr="Four-panel realized-versus-predicted comparison for Size by Book-to-Market" title="" id="16" name="Picture"/>
            <a:graphic>
              <a:graphicData uri="http://schemas.openxmlformats.org/drawingml/2006/picture">
                <pic:pic>
                  <pic:nvPicPr>
                    <pic:cNvPr descr="../figures/size_bm_pricing_four_panel.png" id="17" name="Picture"/>
                    <pic:cNvPicPr>
                      <a:picLocks noChangeArrowheads="1" noChangeAspect="1"/>
                    </pic:cNvPicPr>
                  </pic:nvPicPr>
                  <pic:blipFill>
                    <a:blip r:embed="rId15"/>
                    <a:stretch>
                      <a:fillRect/>
                    </a:stretch>
                  </pic:blipFill>
                  <pic:spPr bwMode="auto">
                    <a:xfrm>
                      <a:off x="0" y="0"/>
                      <a:ext cx="5334000" cy="4520338"/>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Realized and predicted mean monthly excess returns for the 25 Size × Book-to-Market portfolios. Labels identify the three largest absolute pricing errors in each panel. The dashed line is the 45-degree benchmark. Source data:</w:t>
      </w:r>
      <w:r>
        <w:t xml:space="preserve"> </w:t>
      </w:r>
      <w:hyperlink r:id="rId18">
        <w:r>
          <w:rPr>
            <w:rStyle w:val="Hyperlink"/>
          </w:rPr>
          <w:t xml:space="preserve">pricing errors</w:t>
        </w:r>
      </w:hyperlink>
      <w:r>
        <w:t xml:space="preserve">.</w:t>
      </w:r>
    </w:p>
    <w:p>
      <w:pPr>
        <w:pStyle w:val="BodyText"/>
      </w:pPr>
      <w:r>
        <w:t xml:space="preserve">Earlier, CAPM R² is 0.078, mean absolute pricing error is 0.187% per month, and the largest error is 0.398%. The model underpredicts Small/High B/M by 0.398% and Size-2/High B/M by 0.338%, while overpredicting Big/Low B/M by 0.333%. The signs therefore trace a value-like spread, with meaningful errors at both small-value and big-growth corners.</w:t>
      </w:r>
    </w:p>
    <w:p>
      <w:pPr>
        <w:pStyle w:val="BodyText"/>
      </w:pPr>
      <w:r>
        <w:t xml:space="preserve">FF5 moves the earlier points substantially toward the diagonal: R² reaches 0.811 and mean absolute error falls to 0.080%. The largest residuals remain economically structured—Size-4/Low B/M is underpredicted by 0.238% and Small/Low B/M is overpredicted by 0.232%—so high fit is not the same as zero pricing error.</w:t>
      </w:r>
    </w:p>
    <w:p>
      <w:pPr>
        <w:pStyle w:val="BodyText"/>
      </w:pPr>
      <w:r>
        <w:t xml:space="preserve">Post-GFC CAPM R² falls to 0.008. Big/High B/M is underpredicted by 0.453%, Small/Low B/M is overpredicted by 0.339%, and Big/Low B/M is underpredicted by 0.276%. FF5 raises R² to 0.336 and lowers the maximum absolute error to 0.321%, but its mean absolute error (0.091%) is only modestly below CAPM (0.105%). The post-GFC cloud is therefore better organized by FF5 without becoming tightly aligned with the diagonal.</w:t>
      </w:r>
    </w:p>
    <w:p>
      <w:pPr>
        <w:pStyle w:val="BodyText"/>
      </w:pPr>
      <w:r>
        <w:rPr>
          <w:b/>
          <w:bCs/>
        </w:rPr>
        <w:t xml:space="preserve">Table 1. Size × B/M model comparison.</w:t>
      </w:r>
      <w:r>
        <w:t xml:space="preserve"> </w:t>
      </w:r>
      <w:r>
        <w:t xml:space="preserve">Errors are percentage points per month.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Sample</w:t>
            </w:r>
          </w:p>
        </w:tc>
        <w:tc>
          <w:tcPr/>
          <w:p>
            <w:pPr>
              <w:pStyle w:val="Compact"/>
            </w:pPr>
            <w:r>
              <w:t xml:space="preserve">CAPM R²</w:t>
            </w:r>
          </w:p>
        </w:tc>
        <w:tc>
          <w:tcPr/>
          <w:p>
            <w:pPr>
              <w:pStyle w:val="Compact"/>
            </w:pPr>
            <w:r>
              <w:t xml:space="preserve">FF3 R²</w:t>
            </w:r>
          </w:p>
        </w:tc>
        <w:tc>
          <w:tcPr/>
          <w:p>
            <w:pPr>
              <w:pStyle w:val="Compact"/>
            </w:pPr>
            <w:r>
              <w:t xml:space="preserve">FF5 R²</w:t>
            </w:r>
          </w:p>
        </w:tc>
        <w:tc>
          <w:tcPr/>
          <w:p>
            <w:pPr>
              <w:pStyle w:val="Compact"/>
            </w:pPr>
            <w:r>
              <w:t xml:space="preserve">CAPM MAE</w:t>
            </w:r>
          </w:p>
        </w:tc>
        <w:tc>
          <w:tcPr/>
          <w:p>
            <w:pPr>
              <w:pStyle w:val="Compact"/>
            </w:pPr>
            <w:r>
              <w:t xml:space="preserve">FF5 MAE</w:t>
            </w:r>
          </w:p>
        </w:tc>
        <w:tc>
          <w:tcPr/>
          <w:p>
            <w:pPr>
              <w:pStyle w:val="Compact"/>
            </w:pPr>
            <w:r>
              <w:t xml:space="preserve">CAPM max |e|</w:t>
            </w:r>
          </w:p>
        </w:tc>
        <w:tc>
          <w:tcPr/>
          <w:p>
            <w:pPr>
              <w:pStyle w:val="Compact"/>
            </w:pPr>
            <w:r>
              <w:t xml:space="preserve">FF5 max |e|</w:t>
            </w:r>
          </w:p>
        </w:tc>
      </w:tr>
      <w:tr>
        <w:tc>
          <w:tcPr/>
          <w:p>
            <w:pPr>
              <w:pStyle w:val="Compact"/>
            </w:pPr>
            <w:r>
              <w:t xml:space="preserve">Earlier</w:t>
            </w:r>
          </w:p>
        </w:tc>
        <w:tc>
          <w:tcPr/>
          <w:p>
            <w:pPr>
              <w:pStyle w:val="Compact"/>
            </w:pPr>
            <w:r>
              <w:t xml:space="preserve">0.078</w:t>
            </w:r>
          </w:p>
        </w:tc>
        <w:tc>
          <w:tcPr/>
          <w:p>
            <w:pPr>
              <w:pStyle w:val="Compact"/>
            </w:pPr>
            <w:r>
              <w:t xml:space="preserve">0.753</w:t>
            </w:r>
          </w:p>
        </w:tc>
        <w:tc>
          <w:tcPr/>
          <w:p>
            <w:pPr>
              <w:pStyle w:val="Compact"/>
            </w:pPr>
            <w:r>
              <w:t xml:space="preserve">0.811</w:t>
            </w:r>
          </w:p>
        </w:tc>
        <w:tc>
          <w:tcPr/>
          <w:p>
            <w:pPr>
              <w:pStyle w:val="Compact"/>
            </w:pPr>
            <w:r>
              <w:t xml:space="preserve">0.187%</w:t>
            </w:r>
          </w:p>
        </w:tc>
        <w:tc>
          <w:tcPr/>
          <w:p>
            <w:pPr>
              <w:pStyle w:val="Compact"/>
            </w:pPr>
            <w:r>
              <w:t xml:space="preserve">0.080%</w:t>
            </w:r>
          </w:p>
        </w:tc>
        <w:tc>
          <w:tcPr/>
          <w:p>
            <w:pPr>
              <w:pStyle w:val="Compact"/>
            </w:pPr>
            <w:r>
              <w:t xml:space="preserve">0.398%</w:t>
            </w:r>
          </w:p>
        </w:tc>
        <w:tc>
          <w:tcPr/>
          <w:p>
            <w:pPr>
              <w:pStyle w:val="Compact"/>
            </w:pPr>
            <w:r>
              <w:t xml:space="preserve">0.238%</w:t>
            </w:r>
          </w:p>
        </w:tc>
      </w:tr>
      <w:tr>
        <w:tc>
          <w:tcPr/>
          <w:p>
            <w:pPr>
              <w:pStyle w:val="Compact"/>
            </w:pPr>
            <w:r>
              <w:t xml:space="preserve">Post-GFC</w:t>
            </w:r>
          </w:p>
        </w:tc>
        <w:tc>
          <w:tcPr/>
          <w:p>
            <w:pPr>
              <w:pStyle w:val="Compact"/>
            </w:pPr>
            <w:r>
              <w:t xml:space="preserve">0.008</w:t>
            </w:r>
          </w:p>
        </w:tc>
        <w:tc>
          <w:tcPr/>
          <w:p>
            <w:pPr>
              <w:pStyle w:val="Compact"/>
            </w:pPr>
            <w:r>
              <w:t xml:space="preserve">0.299</w:t>
            </w:r>
          </w:p>
        </w:tc>
        <w:tc>
          <w:tcPr/>
          <w:p>
            <w:pPr>
              <w:pStyle w:val="Compact"/>
            </w:pPr>
            <w:r>
              <w:t xml:space="preserve">0.336</w:t>
            </w:r>
          </w:p>
        </w:tc>
        <w:tc>
          <w:tcPr/>
          <w:p>
            <w:pPr>
              <w:pStyle w:val="Compact"/>
            </w:pPr>
            <w:r>
              <w:t xml:space="preserve">0.105%</w:t>
            </w:r>
          </w:p>
        </w:tc>
        <w:tc>
          <w:tcPr/>
          <w:p>
            <w:pPr>
              <w:pStyle w:val="Compact"/>
            </w:pPr>
            <w:r>
              <w:t xml:space="preserve">0.091%</w:t>
            </w:r>
          </w:p>
        </w:tc>
        <w:tc>
          <w:tcPr/>
          <w:p>
            <w:pPr>
              <w:pStyle w:val="Compact"/>
            </w:pPr>
            <w:r>
              <w:t xml:space="preserve">0.453%</w:t>
            </w:r>
          </w:p>
        </w:tc>
        <w:tc>
          <w:tcPr/>
          <w:p>
            <w:pPr>
              <w:pStyle w:val="Compact"/>
            </w:pPr>
            <w:r>
              <w:t xml:space="preserve">0.321%</w:t>
            </w:r>
          </w:p>
        </w:tc>
      </w:tr>
    </w:tbl>
    <w:bookmarkEnd w:id="19"/>
    <w:bookmarkStart w:id="20" w:name="X0404c584320befb39909a356c108f2d3f3adaaf"/>
    <w:p>
      <w:pPr>
        <w:pStyle w:val="Heading3"/>
      </w:pPr>
      <w:r>
        <w:t xml:space="preserve">3.2 Evidence across all eleven families</w:t>
      </w:r>
    </w:p>
    <w:p>
      <w:pPr>
        <w:pStyle w:val="FirstParagraph"/>
      </w:pPr>
      <w:r>
        <w:rPr>
          <w:b/>
          <w:bCs/>
        </w:rPr>
        <w:t xml:space="preserve">Table 2. Cross-sectional fit and pricing errors across 5×5 families.</w:t>
      </w:r>
      <w:r>
        <w:t xml:space="preserve"> </w:t>
      </w:r>
      <w:r>
        <w:t xml:space="preserve">MAE is mean absolute pricing error in percentage points per month.</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Family</w:t>
            </w:r>
          </w:p>
        </w:tc>
        <w:tc>
          <w:tcPr/>
          <w:p>
            <w:pPr>
              <w:pStyle w:val="Compact"/>
            </w:pPr>
            <w:r>
              <w:t xml:space="preserve">Sample</w:t>
            </w:r>
          </w:p>
        </w:tc>
        <w:tc>
          <w:tcPr/>
          <w:p>
            <w:pPr>
              <w:pStyle w:val="Compact"/>
            </w:pPr>
            <w:r>
              <w:t xml:space="preserve">CAPM R²</w:t>
            </w:r>
          </w:p>
        </w:tc>
        <w:tc>
          <w:tcPr/>
          <w:p>
            <w:pPr>
              <w:pStyle w:val="Compact"/>
            </w:pPr>
            <w:r>
              <w:t xml:space="preserve">FF3 R²</w:t>
            </w:r>
          </w:p>
        </w:tc>
        <w:tc>
          <w:tcPr/>
          <w:p>
            <w:pPr>
              <w:pStyle w:val="Compact"/>
            </w:pPr>
            <w:r>
              <w:t xml:space="preserve">FF5 R²</w:t>
            </w:r>
          </w:p>
        </w:tc>
        <w:tc>
          <w:tcPr/>
          <w:p>
            <w:pPr>
              <w:pStyle w:val="Compact"/>
            </w:pPr>
            <w:r>
              <w:t xml:space="preserve">ΔR² FF3</w:t>
            </w:r>
          </w:p>
        </w:tc>
        <w:tc>
          <w:tcPr/>
          <w:p>
            <w:pPr>
              <w:pStyle w:val="Compact"/>
            </w:pPr>
            <w:r>
              <w:t xml:space="preserve">ΔR² FF5</w:t>
            </w:r>
          </w:p>
        </w:tc>
        <w:tc>
          <w:tcPr/>
          <w:p>
            <w:pPr>
              <w:pStyle w:val="Compact"/>
            </w:pPr>
            <w:r>
              <w:t xml:space="preserve">CAPM MAE</w:t>
            </w:r>
          </w:p>
        </w:tc>
        <w:tc>
          <w:tcPr/>
          <w:p>
            <w:pPr>
              <w:pStyle w:val="Compact"/>
            </w:pPr>
            <w:r>
              <w:t xml:space="preserve">FF5 MAE</w:t>
            </w:r>
          </w:p>
        </w:tc>
      </w:tr>
      <w:tr>
        <w:tc>
          <w:tcPr/>
          <w:p>
            <w:pPr>
              <w:pStyle w:val="Compact"/>
            </w:pPr>
            <w:r>
              <w:t xml:space="preserve">Accruals</w:t>
            </w:r>
          </w:p>
        </w:tc>
        <w:tc>
          <w:tcPr/>
          <w:p>
            <w:pPr>
              <w:pStyle w:val="Compact"/>
            </w:pPr>
            <w:r>
              <w:t xml:space="preserve">Earlier</w:t>
            </w:r>
          </w:p>
        </w:tc>
        <w:tc>
          <w:tcPr/>
          <w:p>
            <w:pPr>
              <w:pStyle w:val="Compact"/>
            </w:pPr>
            <w:r>
              <w:t xml:space="preserve">0.164</w:t>
            </w:r>
          </w:p>
        </w:tc>
        <w:tc>
          <w:tcPr/>
          <w:p>
            <w:pPr>
              <w:pStyle w:val="Compact"/>
            </w:pPr>
            <w:r>
              <w:t xml:space="preserve">0.605</w:t>
            </w:r>
          </w:p>
        </w:tc>
        <w:tc>
          <w:tcPr/>
          <w:p>
            <w:pPr>
              <w:pStyle w:val="Compact"/>
            </w:pPr>
            <w:r>
              <w:t xml:space="preserve">0.739</w:t>
            </w:r>
          </w:p>
        </w:tc>
        <w:tc>
          <w:tcPr/>
          <w:p>
            <w:pPr>
              <w:pStyle w:val="Compact"/>
            </w:pPr>
            <w:r>
              <w:t xml:space="preserve">+0.441</w:t>
            </w:r>
          </w:p>
        </w:tc>
        <w:tc>
          <w:tcPr/>
          <w:p>
            <w:pPr>
              <w:pStyle w:val="Compact"/>
            </w:pPr>
            <w:r>
              <w:t xml:space="preserve">+0.575</w:t>
            </w:r>
          </w:p>
        </w:tc>
        <w:tc>
          <w:tcPr/>
          <w:p>
            <w:pPr>
              <w:pStyle w:val="Compact"/>
            </w:pPr>
            <w:r>
              <w:t xml:space="preserve">0.129</w:t>
            </w:r>
          </w:p>
        </w:tc>
        <w:tc>
          <w:tcPr/>
          <w:p>
            <w:pPr>
              <w:pStyle w:val="Compact"/>
            </w:pPr>
            <w:r>
              <w:t xml:space="preserve">0.072</w:t>
            </w:r>
          </w:p>
        </w:tc>
      </w:tr>
      <w:tr>
        <w:tc>
          <w:tcPr/>
          <w:p>
            <w:pPr>
              <w:pStyle w:val="Compact"/>
            </w:pPr>
            <w:r>
              <w:t xml:space="preserve">Accruals</w:t>
            </w:r>
          </w:p>
        </w:tc>
        <w:tc>
          <w:tcPr/>
          <w:p>
            <w:pPr>
              <w:pStyle w:val="Compact"/>
            </w:pPr>
            <w:r>
              <w:t xml:space="preserve">Post-GFC</w:t>
            </w:r>
          </w:p>
        </w:tc>
        <w:tc>
          <w:tcPr/>
          <w:p>
            <w:pPr>
              <w:pStyle w:val="Compact"/>
            </w:pPr>
            <w:r>
              <w:t xml:space="preserve">0.273</w:t>
            </w:r>
          </w:p>
        </w:tc>
        <w:tc>
          <w:tcPr/>
          <w:p>
            <w:pPr>
              <w:pStyle w:val="Compact"/>
            </w:pPr>
            <w:r>
              <w:t xml:space="preserve">0.363</w:t>
            </w:r>
          </w:p>
        </w:tc>
        <w:tc>
          <w:tcPr/>
          <w:p>
            <w:pPr>
              <w:pStyle w:val="Compact"/>
            </w:pPr>
            <w:r>
              <w:t xml:space="preserve">0.430</w:t>
            </w:r>
          </w:p>
        </w:tc>
        <w:tc>
          <w:tcPr/>
          <w:p>
            <w:pPr>
              <w:pStyle w:val="Compact"/>
            </w:pPr>
            <w:r>
              <w:t xml:space="preserve">+0.090</w:t>
            </w:r>
          </w:p>
        </w:tc>
        <w:tc>
          <w:tcPr/>
          <w:p>
            <w:pPr>
              <w:pStyle w:val="Compact"/>
            </w:pPr>
            <w:r>
              <w:t xml:space="preserve">+0.157</w:t>
            </w:r>
          </w:p>
        </w:tc>
        <w:tc>
          <w:tcPr/>
          <w:p>
            <w:pPr>
              <w:pStyle w:val="Compact"/>
            </w:pPr>
            <w:r>
              <w:t xml:space="preserve">0.105</w:t>
            </w:r>
          </w:p>
        </w:tc>
        <w:tc>
          <w:tcPr/>
          <w:p>
            <w:pPr>
              <w:pStyle w:val="Compact"/>
            </w:pPr>
            <w:r>
              <w:t xml:space="preserve">0.093</w:t>
            </w:r>
          </w:p>
        </w:tc>
      </w:tr>
      <w:tr>
        <w:tc>
          <w:tcPr/>
          <w:p>
            <w:pPr>
              <w:pStyle w:val="Compact"/>
            </w:pPr>
            <w:r>
              <w:t xml:space="preserve">Book-to-Market</w:t>
            </w:r>
          </w:p>
        </w:tc>
        <w:tc>
          <w:tcPr/>
          <w:p>
            <w:pPr>
              <w:pStyle w:val="Compact"/>
            </w:pPr>
            <w:r>
              <w:t xml:space="preserve">Earlier</w:t>
            </w:r>
          </w:p>
        </w:tc>
        <w:tc>
          <w:tcPr/>
          <w:p>
            <w:pPr>
              <w:pStyle w:val="Compact"/>
            </w:pPr>
            <w:r>
              <w:t xml:space="preserve">0.078</w:t>
            </w:r>
          </w:p>
        </w:tc>
        <w:tc>
          <w:tcPr/>
          <w:p>
            <w:pPr>
              <w:pStyle w:val="Compact"/>
            </w:pPr>
            <w:r>
              <w:t xml:space="preserve">0.753</w:t>
            </w:r>
          </w:p>
        </w:tc>
        <w:tc>
          <w:tcPr/>
          <w:p>
            <w:pPr>
              <w:pStyle w:val="Compact"/>
            </w:pPr>
            <w:r>
              <w:t xml:space="preserve">0.811</w:t>
            </w:r>
          </w:p>
        </w:tc>
        <w:tc>
          <w:tcPr/>
          <w:p>
            <w:pPr>
              <w:pStyle w:val="Compact"/>
            </w:pPr>
            <w:r>
              <w:t xml:space="preserve">+0.675</w:t>
            </w:r>
          </w:p>
        </w:tc>
        <w:tc>
          <w:tcPr/>
          <w:p>
            <w:pPr>
              <w:pStyle w:val="Compact"/>
            </w:pPr>
            <w:r>
              <w:t xml:space="preserve">+0.733</w:t>
            </w:r>
          </w:p>
        </w:tc>
        <w:tc>
          <w:tcPr/>
          <w:p>
            <w:pPr>
              <w:pStyle w:val="Compact"/>
            </w:pPr>
            <w:r>
              <w:t xml:space="preserve">0.187</w:t>
            </w:r>
          </w:p>
        </w:tc>
        <w:tc>
          <w:tcPr/>
          <w:p>
            <w:pPr>
              <w:pStyle w:val="Compact"/>
            </w:pPr>
            <w:r>
              <w:t xml:space="preserve">0.080</w:t>
            </w:r>
          </w:p>
        </w:tc>
      </w:tr>
      <w:tr>
        <w:tc>
          <w:tcPr/>
          <w:p>
            <w:pPr>
              <w:pStyle w:val="Compact"/>
            </w:pPr>
            <w:r>
              <w:t xml:space="preserve">Book-to-Market</w:t>
            </w:r>
          </w:p>
        </w:tc>
        <w:tc>
          <w:tcPr/>
          <w:p>
            <w:pPr>
              <w:pStyle w:val="Compact"/>
            </w:pPr>
            <w:r>
              <w:t xml:space="preserve">Post-GFC</w:t>
            </w:r>
          </w:p>
        </w:tc>
        <w:tc>
          <w:tcPr/>
          <w:p>
            <w:pPr>
              <w:pStyle w:val="Compact"/>
            </w:pPr>
            <w:r>
              <w:t xml:space="preserve">0.008</w:t>
            </w:r>
          </w:p>
        </w:tc>
        <w:tc>
          <w:tcPr/>
          <w:p>
            <w:pPr>
              <w:pStyle w:val="Compact"/>
            </w:pPr>
            <w:r>
              <w:t xml:space="preserve">0.299</w:t>
            </w:r>
          </w:p>
        </w:tc>
        <w:tc>
          <w:tcPr/>
          <w:p>
            <w:pPr>
              <w:pStyle w:val="Compact"/>
            </w:pPr>
            <w:r>
              <w:t xml:space="preserve">0.336</w:t>
            </w:r>
          </w:p>
        </w:tc>
        <w:tc>
          <w:tcPr/>
          <w:p>
            <w:pPr>
              <w:pStyle w:val="Compact"/>
            </w:pPr>
            <w:r>
              <w:t xml:space="preserve">+0.290</w:t>
            </w:r>
          </w:p>
        </w:tc>
        <w:tc>
          <w:tcPr/>
          <w:p>
            <w:pPr>
              <w:pStyle w:val="Compact"/>
            </w:pPr>
            <w:r>
              <w:t xml:space="preserve">+0.327</w:t>
            </w:r>
          </w:p>
        </w:tc>
        <w:tc>
          <w:tcPr/>
          <w:p>
            <w:pPr>
              <w:pStyle w:val="Compact"/>
            </w:pPr>
            <w:r>
              <w:t xml:space="preserve">0.105</w:t>
            </w:r>
          </w:p>
        </w:tc>
        <w:tc>
          <w:tcPr/>
          <w:p>
            <w:pPr>
              <w:pStyle w:val="Compact"/>
            </w:pPr>
            <w:r>
              <w:t xml:space="preserve">0.091</w:t>
            </w:r>
          </w:p>
        </w:tc>
      </w:tr>
      <w:tr>
        <w:tc>
          <w:tcPr/>
          <w:p>
            <w:pPr>
              <w:pStyle w:val="Compact"/>
            </w:pPr>
            <w:r>
              <w:t xml:space="preserve">Investment</w:t>
            </w:r>
          </w:p>
        </w:tc>
        <w:tc>
          <w:tcPr/>
          <w:p>
            <w:pPr>
              <w:pStyle w:val="Compact"/>
            </w:pPr>
            <w:r>
              <w:t xml:space="preserve">Earlier</w:t>
            </w:r>
          </w:p>
        </w:tc>
        <w:tc>
          <w:tcPr/>
          <w:p>
            <w:pPr>
              <w:pStyle w:val="Compact"/>
            </w:pPr>
            <w:r>
              <w:t xml:space="preserve">0.040</w:t>
            </w:r>
          </w:p>
        </w:tc>
        <w:tc>
          <w:tcPr/>
          <w:p>
            <w:pPr>
              <w:pStyle w:val="Compact"/>
            </w:pPr>
            <w:r>
              <w:t xml:space="preserve">0.741</w:t>
            </w:r>
          </w:p>
        </w:tc>
        <w:tc>
          <w:tcPr/>
          <w:p>
            <w:pPr>
              <w:pStyle w:val="Compact"/>
            </w:pPr>
            <w:r>
              <w:t xml:space="preserve">0.742</w:t>
            </w:r>
          </w:p>
        </w:tc>
        <w:tc>
          <w:tcPr/>
          <w:p>
            <w:pPr>
              <w:pStyle w:val="Compact"/>
            </w:pPr>
            <w:r>
              <w:t xml:space="preserve">+0.701</w:t>
            </w:r>
          </w:p>
        </w:tc>
        <w:tc>
          <w:tcPr/>
          <w:p>
            <w:pPr>
              <w:pStyle w:val="Compact"/>
            </w:pPr>
            <w:r>
              <w:t xml:space="preserve">+0.702</w:t>
            </w:r>
          </w:p>
        </w:tc>
        <w:tc>
          <w:tcPr/>
          <w:p>
            <w:pPr>
              <w:pStyle w:val="Compact"/>
            </w:pPr>
            <w:r>
              <w:t xml:space="preserve">0.172</w:t>
            </w:r>
          </w:p>
        </w:tc>
        <w:tc>
          <w:tcPr/>
          <w:p>
            <w:pPr>
              <w:pStyle w:val="Compact"/>
            </w:pPr>
            <w:r>
              <w:t xml:space="preserve">0.070</w:t>
            </w:r>
          </w:p>
        </w:tc>
      </w:tr>
      <w:tr>
        <w:tc>
          <w:tcPr/>
          <w:p>
            <w:pPr>
              <w:pStyle w:val="Compact"/>
            </w:pPr>
            <w:r>
              <w:t xml:space="preserve">Investment</w:t>
            </w:r>
          </w:p>
        </w:tc>
        <w:tc>
          <w:tcPr/>
          <w:p>
            <w:pPr>
              <w:pStyle w:val="Compact"/>
            </w:pPr>
            <w:r>
              <w:t xml:space="preserve">Post-GFC</w:t>
            </w:r>
          </w:p>
        </w:tc>
        <w:tc>
          <w:tcPr/>
          <w:p>
            <w:pPr>
              <w:pStyle w:val="Compact"/>
            </w:pPr>
            <w:r>
              <w:t xml:space="preserve">0.026</w:t>
            </w:r>
          </w:p>
        </w:tc>
        <w:tc>
          <w:tcPr/>
          <w:p>
            <w:pPr>
              <w:pStyle w:val="Compact"/>
            </w:pPr>
            <w:r>
              <w:t xml:space="preserve">0.367</w:t>
            </w:r>
          </w:p>
        </w:tc>
        <w:tc>
          <w:tcPr/>
          <w:p>
            <w:pPr>
              <w:pStyle w:val="Compact"/>
            </w:pPr>
            <w:r>
              <w:t xml:space="preserve">0.382</w:t>
            </w:r>
          </w:p>
        </w:tc>
        <w:tc>
          <w:tcPr/>
          <w:p>
            <w:pPr>
              <w:pStyle w:val="Compact"/>
            </w:pPr>
            <w:r>
              <w:t xml:space="preserve">+0.341</w:t>
            </w:r>
          </w:p>
        </w:tc>
        <w:tc>
          <w:tcPr/>
          <w:p>
            <w:pPr>
              <w:pStyle w:val="Compact"/>
            </w:pPr>
            <w:r>
              <w:t xml:space="preserve">+0.356</w:t>
            </w:r>
          </w:p>
        </w:tc>
        <w:tc>
          <w:tcPr/>
          <w:p>
            <w:pPr>
              <w:pStyle w:val="Compact"/>
            </w:pPr>
            <w:r>
              <w:t xml:space="preserve">0.077</w:t>
            </w:r>
          </w:p>
        </w:tc>
        <w:tc>
          <w:tcPr/>
          <w:p>
            <w:pPr>
              <w:pStyle w:val="Compact"/>
            </w:pPr>
            <w:r>
              <w:t xml:space="preserve">0.074</w:t>
            </w:r>
          </w:p>
        </w:tc>
      </w:tr>
      <w:tr>
        <w:tc>
          <w:tcPr/>
          <w:p>
            <w:pPr>
              <w:pStyle w:val="Compact"/>
            </w:pPr>
            <w:r>
              <w:t xml:space="preserve">Long-Term Reversal</w:t>
            </w:r>
          </w:p>
        </w:tc>
        <w:tc>
          <w:tcPr/>
          <w:p>
            <w:pPr>
              <w:pStyle w:val="Compact"/>
            </w:pPr>
            <w:r>
              <w:t xml:space="preserve">Earlier</w:t>
            </w:r>
          </w:p>
        </w:tc>
        <w:tc>
          <w:tcPr/>
          <w:p>
            <w:pPr>
              <w:pStyle w:val="Compact"/>
            </w:pPr>
            <w:r>
              <w:t xml:space="preserve">0.032</w:t>
            </w:r>
          </w:p>
        </w:tc>
        <w:tc>
          <w:tcPr/>
          <w:p>
            <w:pPr>
              <w:pStyle w:val="Compact"/>
            </w:pPr>
            <w:r>
              <w:t xml:space="preserve">0.757</w:t>
            </w:r>
          </w:p>
        </w:tc>
        <w:tc>
          <w:tcPr/>
          <w:p>
            <w:pPr>
              <w:pStyle w:val="Compact"/>
            </w:pPr>
            <w:r>
              <w:t xml:space="preserve">0.807</w:t>
            </w:r>
          </w:p>
        </w:tc>
        <w:tc>
          <w:tcPr/>
          <w:p>
            <w:pPr>
              <w:pStyle w:val="Compact"/>
            </w:pPr>
            <w:r>
              <w:t xml:space="preserve">+0.725</w:t>
            </w:r>
          </w:p>
        </w:tc>
        <w:tc>
          <w:tcPr/>
          <w:p>
            <w:pPr>
              <w:pStyle w:val="Compact"/>
            </w:pPr>
            <w:r>
              <w:t xml:space="preserve">+0.775</w:t>
            </w:r>
          </w:p>
        </w:tc>
        <w:tc>
          <w:tcPr/>
          <w:p>
            <w:pPr>
              <w:pStyle w:val="Compact"/>
            </w:pPr>
            <w:r>
              <w:t xml:space="preserve">0.161</w:t>
            </w:r>
          </w:p>
        </w:tc>
        <w:tc>
          <w:tcPr/>
          <w:p>
            <w:pPr>
              <w:pStyle w:val="Compact"/>
            </w:pPr>
            <w:r>
              <w:t xml:space="preserve">0.066</w:t>
            </w:r>
          </w:p>
        </w:tc>
      </w:tr>
      <w:tr>
        <w:tc>
          <w:tcPr/>
          <w:p>
            <w:pPr>
              <w:pStyle w:val="Compact"/>
            </w:pPr>
            <w:r>
              <w:t xml:space="preserve">Long-Term Reversal</w:t>
            </w:r>
          </w:p>
        </w:tc>
        <w:tc>
          <w:tcPr/>
          <w:p>
            <w:pPr>
              <w:pStyle w:val="Compact"/>
            </w:pPr>
            <w:r>
              <w:t xml:space="preserve">Post-GFC</w:t>
            </w:r>
          </w:p>
        </w:tc>
        <w:tc>
          <w:tcPr/>
          <w:p>
            <w:pPr>
              <w:pStyle w:val="Compact"/>
            </w:pPr>
            <w:r>
              <w:t xml:space="preserve">0.038</w:t>
            </w:r>
          </w:p>
        </w:tc>
        <w:tc>
          <w:tcPr/>
          <w:p>
            <w:pPr>
              <w:pStyle w:val="Compact"/>
            </w:pPr>
            <w:r>
              <w:t xml:space="preserve">0.269</w:t>
            </w:r>
          </w:p>
        </w:tc>
        <w:tc>
          <w:tcPr/>
          <w:p>
            <w:pPr>
              <w:pStyle w:val="Compact"/>
            </w:pPr>
            <w:r>
              <w:t xml:space="preserve">0.416</w:t>
            </w:r>
          </w:p>
        </w:tc>
        <w:tc>
          <w:tcPr/>
          <w:p>
            <w:pPr>
              <w:pStyle w:val="Compact"/>
            </w:pPr>
            <w:r>
              <w:t xml:space="preserve">+0.230</w:t>
            </w:r>
          </w:p>
        </w:tc>
        <w:tc>
          <w:tcPr/>
          <w:p>
            <w:pPr>
              <w:pStyle w:val="Compact"/>
            </w:pPr>
            <w:r>
              <w:t xml:space="preserve">+0.377</w:t>
            </w:r>
          </w:p>
        </w:tc>
        <w:tc>
          <w:tcPr/>
          <w:p>
            <w:pPr>
              <w:pStyle w:val="Compact"/>
            </w:pPr>
            <w:r>
              <w:t xml:space="preserve">0.100</w:t>
            </w:r>
          </w:p>
        </w:tc>
        <w:tc>
          <w:tcPr/>
          <w:p>
            <w:pPr>
              <w:pStyle w:val="Compact"/>
            </w:pPr>
            <w:r>
              <w:t xml:space="preserve">0.079</w:t>
            </w:r>
          </w:p>
        </w:tc>
      </w:tr>
      <w:tr>
        <w:tc>
          <w:tcPr/>
          <w:p>
            <w:pPr>
              <w:pStyle w:val="Compact"/>
            </w:pPr>
            <w:r>
              <w:t xml:space="preserve">Market Beta</w:t>
            </w:r>
          </w:p>
        </w:tc>
        <w:tc>
          <w:tcPr/>
          <w:p>
            <w:pPr>
              <w:pStyle w:val="Compact"/>
            </w:pPr>
            <w:r>
              <w:t xml:space="preserve">Earlier</w:t>
            </w:r>
          </w:p>
        </w:tc>
        <w:tc>
          <w:tcPr/>
          <w:p>
            <w:pPr>
              <w:pStyle w:val="Compact"/>
            </w:pPr>
            <w:r>
              <w:t xml:space="preserve">0.020</w:t>
            </w:r>
          </w:p>
        </w:tc>
        <w:tc>
          <w:tcPr/>
          <w:p>
            <w:pPr>
              <w:pStyle w:val="Compact"/>
            </w:pPr>
            <w:r>
              <w:t xml:space="preserve">0.856</w:t>
            </w:r>
          </w:p>
        </w:tc>
        <w:tc>
          <w:tcPr/>
          <w:p>
            <w:pPr>
              <w:pStyle w:val="Compact"/>
            </w:pPr>
            <w:r>
              <w:t xml:space="preserve">0.860</w:t>
            </w:r>
          </w:p>
        </w:tc>
        <w:tc>
          <w:tcPr/>
          <w:p>
            <w:pPr>
              <w:pStyle w:val="Compact"/>
            </w:pPr>
            <w:r>
              <w:t xml:space="preserve">+0.836</w:t>
            </w:r>
          </w:p>
        </w:tc>
        <w:tc>
          <w:tcPr/>
          <w:p>
            <w:pPr>
              <w:pStyle w:val="Compact"/>
            </w:pPr>
            <w:r>
              <w:t xml:space="preserve">+0.840</w:t>
            </w:r>
          </w:p>
        </w:tc>
        <w:tc>
          <w:tcPr/>
          <w:p>
            <w:pPr>
              <w:pStyle w:val="Compact"/>
            </w:pPr>
            <w:r>
              <w:t xml:space="preserve">0.127</w:t>
            </w:r>
          </w:p>
        </w:tc>
        <w:tc>
          <w:tcPr/>
          <w:p>
            <w:pPr>
              <w:pStyle w:val="Compact"/>
            </w:pPr>
            <w:r>
              <w:t xml:space="preserve">0.047</w:t>
            </w:r>
          </w:p>
        </w:tc>
      </w:tr>
      <w:tr>
        <w:tc>
          <w:tcPr/>
          <w:p>
            <w:pPr>
              <w:pStyle w:val="Compact"/>
            </w:pPr>
            <w:r>
              <w:t xml:space="preserve">Market Beta</w:t>
            </w:r>
          </w:p>
        </w:tc>
        <w:tc>
          <w:tcPr/>
          <w:p>
            <w:pPr>
              <w:pStyle w:val="Compact"/>
            </w:pPr>
            <w:r>
              <w:t xml:space="preserve">Post-GFC</w:t>
            </w:r>
          </w:p>
        </w:tc>
        <w:tc>
          <w:tcPr/>
          <w:p>
            <w:pPr>
              <w:pStyle w:val="Compact"/>
            </w:pPr>
            <w:r>
              <w:t xml:space="preserve">0.181</w:t>
            </w:r>
          </w:p>
        </w:tc>
        <w:tc>
          <w:tcPr/>
          <w:p>
            <w:pPr>
              <w:pStyle w:val="Compact"/>
            </w:pPr>
            <w:r>
              <w:t xml:space="preserve">0.546</w:t>
            </w:r>
          </w:p>
        </w:tc>
        <w:tc>
          <w:tcPr/>
          <w:p>
            <w:pPr>
              <w:pStyle w:val="Compact"/>
            </w:pPr>
            <w:r>
              <w:t xml:space="preserve">0.612</w:t>
            </w:r>
          </w:p>
        </w:tc>
        <w:tc>
          <w:tcPr/>
          <w:p>
            <w:pPr>
              <w:pStyle w:val="Compact"/>
            </w:pPr>
            <w:r>
              <w:t xml:space="preserve">+0.365</w:t>
            </w:r>
          </w:p>
        </w:tc>
        <w:tc>
          <w:tcPr/>
          <w:p>
            <w:pPr>
              <w:pStyle w:val="Compact"/>
            </w:pPr>
            <w:r>
              <w:t xml:space="preserve">+0.431</w:t>
            </w:r>
          </w:p>
        </w:tc>
        <w:tc>
          <w:tcPr/>
          <w:p>
            <w:pPr>
              <w:pStyle w:val="Compact"/>
            </w:pPr>
            <w:r>
              <w:t xml:space="preserve">0.138</w:t>
            </w:r>
          </w:p>
        </w:tc>
        <w:tc>
          <w:tcPr/>
          <w:p>
            <w:pPr>
              <w:pStyle w:val="Compact"/>
            </w:pPr>
            <w:r>
              <w:t xml:space="preserve">0.110</w:t>
            </w:r>
          </w:p>
        </w:tc>
      </w:tr>
      <w:tr>
        <w:tc>
          <w:tcPr/>
          <w:p>
            <w:pPr>
              <w:pStyle w:val="Compact"/>
            </w:pPr>
            <w:r>
              <w:t xml:space="preserve">Momentum</w:t>
            </w:r>
          </w:p>
        </w:tc>
        <w:tc>
          <w:tcPr/>
          <w:p>
            <w:pPr>
              <w:pStyle w:val="Compact"/>
            </w:pPr>
            <w:r>
              <w:t xml:space="preserve">Earlier</w:t>
            </w:r>
          </w:p>
        </w:tc>
        <w:tc>
          <w:tcPr/>
          <w:p>
            <w:pPr>
              <w:pStyle w:val="Compact"/>
            </w:pPr>
            <w:r>
              <w:t xml:space="preserve">0.079</w:t>
            </w:r>
          </w:p>
        </w:tc>
        <w:tc>
          <w:tcPr/>
          <w:p>
            <w:pPr>
              <w:pStyle w:val="Compact"/>
            </w:pPr>
            <w:r>
              <w:t xml:space="preserve">0.759</w:t>
            </w:r>
          </w:p>
        </w:tc>
        <w:tc>
          <w:tcPr/>
          <w:p>
            <w:pPr>
              <w:pStyle w:val="Compact"/>
            </w:pPr>
            <w:r>
              <w:t xml:space="preserve">0.877</w:t>
            </w:r>
          </w:p>
        </w:tc>
        <w:tc>
          <w:tcPr/>
          <w:p>
            <w:pPr>
              <w:pStyle w:val="Compact"/>
            </w:pPr>
            <w:r>
              <w:t xml:space="preserve">+0.680</w:t>
            </w:r>
          </w:p>
        </w:tc>
        <w:tc>
          <w:tcPr/>
          <w:p>
            <w:pPr>
              <w:pStyle w:val="Compact"/>
            </w:pPr>
            <w:r>
              <w:t xml:space="preserve">+0.798</w:t>
            </w:r>
          </w:p>
        </w:tc>
        <w:tc>
          <w:tcPr/>
          <w:p>
            <w:pPr>
              <w:pStyle w:val="Compact"/>
            </w:pPr>
            <w:r>
              <w:t xml:space="preserve">0.271</w:t>
            </w:r>
          </w:p>
        </w:tc>
        <w:tc>
          <w:tcPr/>
          <w:p>
            <w:pPr>
              <w:pStyle w:val="Compact"/>
            </w:pPr>
            <w:r>
              <w:t xml:space="preserve">0.091</w:t>
            </w:r>
          </w:p>
        </w:tc>
      </w:tr>
      <w:tr>
        <w:tc>
          <w:tcPr/>
          <w:p>
            <w:pPr>
              <w:pStyle w:val="Compact"/>
            </w:pPr>
            <w:r>
              <w:t xml:space="preserve">Momentum</w:t>
            </w:r>
          </w:p>
        </w:tc>
        <w:tc>
          <w:tcPr/>
          <w:p>
            <w:pPr>
              <w:pStyle w:val="Compact"/>
            </w:pPr>
            <w:r>
              <w:t xml:space="preserve">Post-GFC</w:t>
            </w:r>
          </w:p>
        </w:tc>
        <w:tc>
          <w:tcPr/>
          <w:p>
            <w:pPr>
              <w:pStyle w:val="Compact"/>
            </w:pPr>
            <w:r>
              <w:t xml:space="preserve">0.514</w:t>
            </w:r>
          </w:p>
        </w:tc>
        <w:tc>
          <w:tcPr/>
          <w:p>
            <w:pPr>
              <w:pStyle w:val="Compact"/>
            </w:pPr>
            <w:r>
              <w:t xml:space="preserve">0.519</w:t>
            </w:r>
          </w:p>
        </w:tc>
        <w:tc>
          <w:tcPr/>
          <w:p>
            <w:pPr>
              <w:pStyle w:val="Compact"/>
            </w:pPr>
            <w:r>
              <w:t xml:space="preserve">0.550</w:t>
            </w:r>
          </w:p>
        </w:tc>
        <w:tc>
          <w:tcPr/>
          <w:p>
            <w:pPr>
              <w:pStyle w:val="Compact"/>
            </w:pPr>
            <w:r>
              <w:t xml:space="preserve">+0.005</w:t>
            </w:r>
          </w:p>
        </w:tc>
        <w:tc>
          <w:tcPr/>
          <w:p>
            <w:pPr>
              <w:pStyle w:val="Compact"/>
            </w:pPr>
            <w:r>
              <w:t xml:space="preserve">+0.036</w:t>
            </w:r>
          </w:p>
        </w:tc>
        <w:tc>
          <w:tcPr/>
          <w:p>
            <w:pPr>
              <w:pStyle w:val="Compact"/>
            </w:pPr>
            <w:r>
              <w:t xml:space="preserve">0.108</w:t>
            </w:r>
          </w:p>
        </w:tc>
        <w:tc>
          <w:tcPr/>
          <w:p>
            <w:pPr>
              <w:pStyle w:val="Compact"/>
            </w:pPr>
            <w:r>
              <w:t xml:space="preserve">0.103</w:t>
            </w:r>
          </w:p>
        </w:tc>
      </w:tr>
      <w:tr>
        <w:tc>
          <w:tcPr/>
          <w:p>
            <w:pPr>
              <w:pStyle w:val="Compact"/>
            </w:pPr>
            <w:r>
              <w:t xml:space="preserve">Net Share Issues</w:t>
            </w:r>
          </w:p>
        </w:tc>
        <w:tc>
          <w:tcPr/>
          <w:p>
            <w:pPr>
              <w:pStyle w:val="Compact"/>
            </w:pPr>
            <w:r>
              <w:t xml:space="preserve">Earlier</w:t>
            </w:r>
          </w:p>
        </w:tc>
        <w:tc>
          <w:tcPr/>
          <w:p>
            <w:pPr>
              <w:pStyle w:val="Compact"/>
            </w:pPr>
            <w:r>
              <w:t xml:space="preserve">0.001</w:t>
            </w:r>
          </w:p>
        </w:tc>
        <w:tc>
          <w:tcPr/>
          <w:p>
            <w:pPr>
              <w:pStyle w:val="Compact"/>
            </w:pPr>
            <w:r>
              <w:t xml:space="preserve">0.559</w:t>
            </w:r>
          </w:p>
        </w:tc>
        <w:tc>
          <w:tcPr/>
          <w:p>
            <w:pPr>
              <w:pStyle w:val="Compact"/>
            </w:pPr>
            <w:r>
              <w:t xml:space="preserve">0.661</w:t>
            </w:r>
          </w:p>
        </w:tc>
        <w:tc>
          <w:tcPr/>
          <w:p>
            <w:pPr>
              <w:pStyle w:val="Compact"/>
            </w:pPr>
            <w:r>
              <w:t xml:space="preserve">+0.557</w:t>
            </w:r>
          </w:p>
        </w:tc>
        <w:tc>
          <w:tcPr/>
          <w:p>
            <w:pPr>
              <w:pStyle w:val="Compact"/>
            </w:pPr>
            <w:r>
              <w:t xml:space="preserve">+0.660</w:t>
            </w:r>
          </w:p>
        </w:tc>
        <w:tc>
          <w:tcPr/>
          <w:p>
            <w:pPr>
              <w:pStyle w:val="Compact"/>
            </w:pPr>
            <w:r>
              <w:t xml:space="preserve">0.215</w:t>
            </w:r>
          </w:p>
        </w:tc>
        <w:tc>
          <w:tcPr/>
          <w:p>
            <w:pPr>
              <w:pStyle w:val="Compact"/>
            </w:pPr>
            <w:r>
              <w:t xml:space="preserve">0.115</w:t>
            </w:r>
          </w:p>
        </w:tc>
      </w:tr>
      <w:tr>
        <w:tc>
          <w:tcPr/>
          <w:p>
            <w:pPr>
              <w:pStyle w:val="Compact"/>
            </w:pPr>
            <w:r>
              <w:t xml:space="preserve">Net Share Issues</w:t>
            </w:r>
          </w:p>
        </w:tc>
        <w:tc>
          <w:tcPr/>
          <w:p>
            <w:pPr>
              <w:pStyle w:val="Compact"/>
            </w:pPr>
            <w:r>
              <w:t xml:space="preserve">Post-GFC</w:t>
            </w:r>
          </w:p>
        </w:tc>
        <w:tc>
          <w:tcPr/>
          <w:p>
            <w:pPr>
              <w:pStyle w:val="Compact"/>
            </w:pPr>
            <w:r>
              <w:t xml:space="preserve">0.007</w:t>
            </w:r>
          </w:p>
        </w:tc>
        <w:tc>
          <w:tcPr/>
          <w:p>
            <w:pPr>
              <w:pStyle w:val="Compact"/>
            </w:pPr>
            <w:r>
              <w:t xml:space="preserve">0.137</w:t>
            </w:r>
          </w:p>
        </w:tc>
        <w:tc>
          <w:tcPr/>
          <w:p>
            <w:pPr>
              <w:pStyle w:val="Compact"/>
            </w:pPr>
            <w:r>
              <w:t xml:space="preserve">0.363</w:t>
            </w:r>
          </w:p>
        </w:tc>
        <w:tc>
          <w:tcPr/>
          <w:p>
            <w:pPr>
              <w:pStyle w:val="Compact"/>
            </w:pPr>
            <w:r>
              <w:t xml:space="preserve">+0.130</w:t>
            </w:r>
          </w:p>
        </w:tc>
        <w:tc>
          <w:tcPr/>
          <w:p>
            <w:pPr>
              <w:pStyle w:val="Compact"/>
            </w:pPr>
            <w:r>
              <w:t xml:space="preserve">+0.356</w:t>
            </w:r>
          </w:p>
        </w:tc>
        <w:tc>
          <w:tcPr/>
          <w:p>
            <w:pPr>
              <w:pStyle w:val="Compact"/>
            </w:pPr>
            <w:r>
              <w:t xml:space="preserve">0.174</w:t>
            </w:r>
          </w:p>
        </w:tc>
        <w:tc>
          <w:tcPr/>
          <w:p>
            <w:pPr>
              <w:pStyle w:val="Compact"/>
            </w:pPr>
            <w:r>
              <w:t xml:space="preserve">0.146</w:t>
            </w:r>
          </w:p>
        </w:tc>
      </w:tr>
      <w:tr>
        <w:tc>
          <w:tcPr/>
          <w:p>
            <w:pPr>
              <w:pStyle w:val="Compact"/>
            </w:pPr>
            <w:r>
              <w:t xml:space="preserve">Operating Profitability</w:t>
            </w:r>
          </w:p>
        </w:tc>
        <w:tc>
          <w:tcPr/>
          <w:p>
            <w:pPr>
              <w:pStyle w:val="Compact"/>
            </w:pPr>
            <w:r>
              <w:t xml:space="preserve">Earlier</w:t>
            </w:r>
          </w:p>
        </w:tc>
        <w:tc>
          <w:tcPr/>
          <w:p>
            <w:pPr>
              <w:pStyle w:val="Compact"/>
            </w:pPr>
            <w:r>
              <w:t xml:space="preserve">0.031</w:t>
            </w:r>
          </w:p>
        </w:tc>
        <w:tc>
          <w:tcPr/>
          <w:p>
            <w:pPr>
              <w:pStyle w:val="Compact"/>
            </w:pPr>
            <w:r>
              <w:t xml:space="preserve">0.592</w:t>
            </w:r>
          </w:p>
        </w:tc>
        <w:tc>
          <w:tcPr/>
          <w:p>
            <w:pPr>
              <w:pStyle w:val="Compact"/>
            </w:pPr>
            <w:r>
              <w:t xml:space="preserve">0.910</w:t>
            </w:r>
          </w:p>
        </w:tc>
        <w:tc>
          <w:tcPr/>
          <w:p>
            <w:pPr>
              <w:pStyle w:val="Compact"/>
            </w:pPr>
            <w:r>
              <w:t xml:space="preserve">+0.561</w:t>
            </w:r>
          </w:p>
        </w:tc>
        <w:tc>
          <w:tcPr/>
          <w:p>
            <w:pPr>
              <w:pStyle w:val="Compact"/>
            </w:pPr>
            <w:r>
              <w:t xml:space="preserve">+0.879</w:t>
            </w:r>
          </w:p>
        </w:tc>
        <w:tc>
          <w:tcPr/>
          <w:p>
            <w:pPr>
              <w:pStyle w:val="Compact"/>
            </w:pPr>
            <w:r>
              <w:t xml:space="preserve">0.160</w:t>
            </w:r>
          </w:p>
        </w:tc>
        <w:tc>
          <w:tcPr/>
          <w:p>
            <w:pPr>
              <w:pStyle w:val="Compact"/>
            </w:pPr>
            <w:r>
              <w:t xml:space="preserve">0.043</w:t>
            </w:r>
          </w:p>
        </w:tc>
      </w:tr>
      <w:tr>
        <w:tc>
          <w:tcPr/>
          <w:p>
            <w:pPr>
              <w:pStyle w:val="Compact"/>
            </w:pPr>
            <w:r>
              <w:t xml:space="preserve">Operating Profitability</w:t>
            </w:r>
          </w:p>
        </w:tc>
        <w:tc>
          <w:tcPr/>
          <w:p>
            <w:pPr>
              <w:pStyle w:val="Compact"/>
            </w:pPr>
            <w:r>
              <w:t xml:space="preserve">Post-GFC</w:t>
            </w:r>
          </w:p>
        </w:tc>
        <w:tc>
          <w:tcPr/>
          <w:p>
            <w:pPr>
              <w:pStyle w:val="Compact"/>
            </w:pPr>
            <w:r>
              <w:t xml:space="preserve">0.244</w:t>
            </w:r>
          </w:p>
        </w:tc>
        <w:tc>
          <w:tcPr/>
          <w:p>
            <w:pPr>
              <w:pStyle w:val="Compact"/>
            </w:pPr>
            <w:r>
              <w:t xml:space="preserve">0.255</w:t>
            </w:r>
          </w:p>
        </w:tc>
        <w:tc>
          <w:tcPr/>
          <w:p>
            <w:pPr>
              <w:pStyle w:val="Compact"/>
            </w:pPr>
            <w:r>
              <w:t xml:space="preserve">0.489</w:t>
            </w:r>
          </w:p>
        </w:tc>
        <w:tc>
          <w:tcPr/>
          <w:p>
            <w:pPr>
              <w:pStyle w:val="Compact"/>
            </w:pPr>
            <w:r>
              <w:t xml:space="preserve">+0.010</w:t>
            </w:r>
          </w:p>
        </w:tc>
        <w:tc>
          <w:tcPr/>
          <w:p>
            <w:pPr>
              <w:pStyle w:val="Compact"/>
            </w:pPr>
            <w:r>
              <w:t xml:space="preserve">+0.244</w:t>
            </w:r>
          </w:p>
        </w:tc>
        <w:tc>
          <w:tcPr/>
          <w:p>
            <w:pPr>
              <w:pStyle w:val="Compact"/>
            </w:pPr>
            <w:r>
              <w:t xml:space="preserve">0.083</w:t>
            </w:r>
          </w:p>
        </w:tc>
        <w:tc>
          <w:tcPr/>
          <w:p>
            <w:pPr>
              <w:pStyle w:val="Compact"/>
            </w:pPr>
            <w:r>
              <w:t xml:space="preserve">0.080</w:t>
            </w:r>
          </w:p>
        </w:tc>
      </w:tr>
      <w:tr>
        <w:tc>
          <w:tcPr/>
          <w:p>
            <w:pPr>
              <w:pStyle w:val="Compact"/>
            </w:pPr>
            <w:r>
              <w:t xml:space="preserve">Residual Variance</w:t>
            </w:r>
          </w:p>
        </w:tc>
        <w:tc>
          <w:tcPr/>
          <w:p>
            <w:pPr>
              <w:pStyle w:val="Compact"/>
            </w:pPr>
            <w:r>
              <w:t xml:space="preserve">Earlier</w:t>
            </w:r>
          </w:p>
        </w:tc>
        <w:tc>
          <w:tcPr/>
          <w:p>
            <w:pPr>
              <w:pStyle w:val="Compact"/>
            </w:pPr>
            <w:r>
              <w:t xml:space="preserve">0.142</w:t>
            </w:r>
          </w:p>
        </w:tc>
        <w:tc>
          <w:tcPr/>
          <w:p>
            <w:pPr>
              <w:pStyle w:val="Compact"/>
            </w:pPr>
            <w:r>
              <w:t xml:space="preserve">0.571</w:t>
            </w:r>
          </w:p>
        </w:tc>
        <w:tc>
          <w:tcPr/>
          <w:p>
            <w:pPr>
              <w:pStyle w:val="Compact"/>
            </w:pPr>
            <w:r>
              <w:t xml:space="preserve">0.828</w:t>
            </w:r>
          </w:p>
        </w:tc>
        <w:tc>
          <w:tcPr/>
          <w:p>
            <w:pPr>
              <w:pStyle w:val="Compact"/>
            </w:pPr>
            <w:r>
              <w:t xml:space="preserve">+0.428</w:t>
            </w:r>
          </w:p>
        </w:tc>
        <w:tc>
          <w:tcPr/>
          <w:p>
            <w:pPr>
              <w:pStyle w:val="Compact"/>
            </w:pPr>
            <w:r>
              <w:t xml:space="preserve">+0.685</w:t>
            </w:r>
          </w:p>
        </w:tc>
        <w:tc>
          <w:tcPr/>
          <w:p>
            <w:pPr>
              <w:pStyle w:val="Compact"/>
            </w:pPr>
            <w:r>
              <w:t xml:space="preserve">0.248</w:t>
            </w:r>
          </w:p>
        </w:tc>
        <w:tc>
          <w:tcPr/>
          <w:p>
            <w:pPr>
              <w:pStyle w:val="Compact"/>
            </w:pPr>
            <w:r>
              <w:t xml:space="preserve">0.106</w:t>
            </w:r>
          </w:p>
        </w:tc>
      </w:tr>
      <w:tr>
        <w:tc>
          <w:tcPr/>
          <w:p>
            <w:pPr>
              <w:pStyle w:val="Compact"/>
            </w:pPr>
            <w:r>
              <w:t xml:space="preserve">Residual Variance</w:t>
            </w:r>
          </w:p>
        </w:tc>
        <w:tc>
          <w:tcPr/>
          <w:p>
            <w:pPr>
              <w:pStyle w:val="Compact"/>
            </w:pPr>
            <w:r>
              <w:t xml:space="preserve">Post-GFC</w:t>
            </w:r>
          </w:p>
        </w:tc>
        <w:tc>
          <w:tcPr/>
          <w:p>
            <w:pPr>
              <w:pStyle w:val="Compact"/>
            </w:pPr>
            <w:r>
              <w:t xml:space="preserve">0.379</w:t>
            </w:r>
          </w:p>
        </w:tc>
        <w:tc>
          <w:tcPr/>
          <w:p>
            <w:pPr>
              <w:pStyle w:val="Compact"/>
            </w:pPr>
            <w:r>
              <w:t xml:space="preserve">0.528</w:t>
            </w:r>
          </w:p>
        </w:tc>
        <w:tc>
          <w:tcPr/>
          <w:p>
            <w:pPr>
              <w:pStyle w:val="Compact"/>
            </w:pPr>
            <w:r>
              <w:t xml:space="preserve">0.730</w:t>
            </w:r>
          </w:p>
        </w:tc>
        <w:tc>
          <w:tcPr/>
          <w:p>
            <w:pPr>
              <w:pStyle w:val="Compact"/>
            </w:pPr>
            <w:r>
              <w:t xml:space="preserve">+0.149</w:t>
            </w:r>
          </w:p>
        </w:tc>
        <w:tc>
          <w:tcPr/>
          <w:p>
            <w:pPr>
              <w:pStyle w:val="Compact"/>
            </w:pPr>
            <w:r>
              <w:t xml:space="preserve">+0.351</w:t>
            </w:r>
          </w:p>
        </w:tc>
        <w:tc>
          <w:tcPr/>
          <w:p>
            <w:pPr>
              <w:pStyle w:val="Compact"/>
            </w:pPr>
            <w:r>
              <w:t xml:space="preserve">0.131</w:t>
            </w:r>
          </w:p>
        </w:tc>
        <w:tc>
          <w:tcPr/>
          <w:p>
            <w:pPr>
              <w:pStyle w:val="Compact"/>
            </w:pPr>
            <w:r>
              <w:t xml:space="preserve">0.098</w:t>
            </w:r>
          </w:p>
        </w:tc>
      </w:tr>
      <w:tr>
        <w:tc>
          <w:tcPr/>
          <w:p>
            <w:pPr>
              <w:pStyle w:val="Compact"/>
            </w:pPr>
            <w:r>
              <w:t xml:space="preserve">Short-Term Reversal</w:t>
            </w:r>
          </w:p>
        </w:tc>
        <w:tc>
          <w:tcPr/>
          <w:p>
            <w:pPr>
              <w:pStyle w:val="Compact"/>
            </w:pPr>
            <w:r>
              <w:t xml:space="preserve">Earlier</w:t>
            </w:r>
          </w:p>
        </w:tc>
        <w:tc>
          <w:tcPr/>
          <w:p>
            <w:pPr>
              <w:pStyle w:val="Compact"/>
            </w:pPr>
            <w:r>
              <w:t xml:space="preserve">0.324</w:t>
            </w:r>
          </w:p>
        </w:tc>
        <w:tc>
          <w:tcPr/>
          <w:p>
            <w:pPr>
              <w:pStyle w:val="Compact"/>
            </w:pPr>
            <w:r>
              <w:t xml:space="preserve">0.835</w:t>
            </w:r>
          </w:p>
        </w:tc>
        <w:tc>
          <w:tcPr/>
          <w:p>
            <w:pPr>
              <w:pStyle w:val="Compact"/>
            </w:pPr>
            <w:r>
              <w:t xml:space="preserve">0.865</w:t>
            </w:r>
          </w:p>
        </w:tc>
        <w:tc>
          <w:tcPr/>
          <w:p>
            <w:pPr>
              <w:pStyle w:val="Compact"/>
            </w:pPr>
            <w:r>
              <w:t xml:space="preserve">+0.511</w:t>
            </w:r>
          </w:p>
        </w:tc>
        <w:tc>
          <w:tcPr/>
          <w:p>
            <w:pPr>
              <w:pStyle w:val="Compact"/>
            </w:pPr>
            <w:r>
              <w:t xml:space="preserve">+0.541</w:t>
            </w:r>
          </w:p>
        </w:tc>
        <w:tc>
          <w:tcPr/>
          <w:p>
            <w:pPr>
              <w:pStyle w:val="Compact"/>
            </w:pPr>
            <w:r>
              <w:t xml:space="preserve">0.186</w:t>
            </w:r>
          </w:p>
        </w:tc>
        <w:tc>
          <w:tcPr/>
          <w:p>
            <w:pPr>
              <w:pStyle w:val="Compact"/>
            </w:pPr>
            <w:r>
              <w:t xml:space="preserve">0.079</w:t>
            </w:r>
          </w:p>
        </w:tc>
      </w:tr>
      <w:tr>
        <w:tc>
          <w:tcPr/>
          <w:p>
            <w:pPr>
              <w:pStyle w:val="Compact"/>
            </w:pPr>
            <w:r>
              <w:t xml:space="preserve">Short-Term Reversal</w:t>
            </w:r>
          </w:p>
        </w:tc>
        <w:tc>
          <w:tcPr/>
          <w:p>
            <w:pPr>
              <w:pStyle w:val="Compact"/>
            </w:pPr>
            <w:r>
              <w:t xml:space="preserve">Post-GFC</w:t>
            </w:r>
          </w:p>
        </w:tc>
        <w:tc>
          <w:tcPr/>
          <w:p>
            <w:pPr>
              <w:pStyle w:val="Compact"/>
            </w:pPr>
            <w:r>
              <w:t xml:space="preserve">0.178</w:t>
            </w:r>
          </w:p>
        </w:tc>
        <w:tc>
          <w:tcPr/>
          <w:p>
            <w:pPr>
              <w:pStyle w:val="Compact"/>
            </w:pPr>
            <w:r>
              <w:t xml:space="preserve">0.498</w:t>
            </w:r>
          </w:p>
        </w:tc>
        <w:tc>
          <w:tcPr/>
          <w:p>
            <w:pPr>
              <w:pStyle w:val="Compact"/>
            </w:pPr>
            <w:r>
              <w:t xml:space="preserve">0.540</w:t>
            </w:r>
          </w:p>
        </w:tc>
        <w:tc>
          <w:tcPr/>
          <w:p>
            <w:pPr>
              <w:pStyle w:val="Compact"/>
            </w:pPr>
            <w:r>
              <w:t xml:space="preserve">+0.320</w:t>
            </w:r>
          </w:p>
        </w:tc>
        <w:tc>
          <w:tcPr/>
          <w:p>
            <w:pPr>
              <w:pStyle w:val="Compact"/>
            </w:pPr>
            <w:r>
              <w:t xml:space="preserve">+0.362</w:t>
            </w:r>
          </w:p>
        </w:tc>
        <w:tc>
          <w:tcPr/>
          <w:p>
            <w:pPr>
              <w:pStyle w:val="Compact"/>
            </w:pPr>
            <w:r>
              <w:t xml:space="preserve">0.132</w:t>
            </w:r>
          </w:p>
        </w:tc>
        <w:tc>
          <w:tcPr/>
          <w:p>
            <w:pPr>
              <w:pStyle w:val="Compact"/>
            </w:pPr>
            <w:r>
              <w:t xml:space="preserve">0.096</w:t>
            </w:r>
          </w:p>
        </w:tc>
      </w:tr>
      <w:tr>
        <w:tc>
          <w:tcPr/>
          <w:p>
            <w:pPr>
              <w:pStyle w:val="Compact"/>
            </w:pPr>
            <w:r>
              <w:t xml:space="preserve">Variance</w:t>
            </w:r>
          </w:p>
        </w:tc>
        <w:tc>
          <w:tcPr/>
          <w:p>
            <w:pPr>
              <w:pStyle w:val="Compact"/>
            </w:pPr>
            <w:r>
              <w:t xml:space="preserve">Earlier</w:t>
            </w:r>
          </w:p>
        </w:tc>
        <w:tc>
          <w:tcPr/>
          <w:p>
            <w:pPr>
              <w:pStyle w:val="Compact"/>
            </w:pPr>
            <w:r>
              <w:t xml:space="preserve">0.112</w:t>
            </w:r>
          </w:p>
        </w:tc>
        <w:tc>
          <w:tcPr/>
          <w:p>
            <w:pPr>
              <w:pStyle w:val="Compact"/>
            </w:pPr>
            <w:r>
              <w:t xml:space="preserve">0.529</w:t>
            </w:r>
          </w:p>
        </w:tc>
        <w:tc>
          <w:tcPr/>
          <w:p>
            <w:pPr>
              <w:pStyle w:val="Compact"/>
            </w:pPr>
            <w:r>
              <w:t xml:space="preserve">0.792</w:t>
            </w:r>
          </w:p>
        </w:tc>
        <w:tc>
          <w:tcPr/>
          <w:p>
            <w:pPr>
              <w:pStyle w:val="Compact"/>
            </w:pPr>
            <w:r>
              <w:t xml:space="preserve">+0.417</w:t>
            </w:r>
          </w:p>
        </w:tc>
        <w:tc>
          <w:tcPr/>
          <w:p>
            <w:pPr>
              <w:pStyle w:val="Compact"/>
            </w:pPr>
            <w:r>
              <w:t xml:space="preserve">+0.681</w:t>
            </w:r>
          </w:p>
        </w:tc>
        <w:tc>
          <w:tcPr/>
          <w:p>
            <w:pPr>
              <w:pStyle w:val="Compact"/>
            </w:pPr>
            <w:r>
              <w:t xml:space="preserve">0.237</w:t>
            </w:r>
          </w:p>
        </w:tc>
        <w:tc>
          <w:tcPr/>
          <w:p>
            <w:pPr>
              <w:pStyle w:val="Compact"/>
            </w:pPr>
            <w:r>
              <w:t xml:space="preserve">0.105</w:t>
            </w:r>
          </w:p>
        </w:tc>
      </w:tr>
      <w:tr>
        <w:tc>
          <w:tcPr/>
          <w:p>
            <w:pPr>
              <w:pStyle w:val="Compact"/>
            </w:pPr>
            <w:r>
              <w:t xml:space="preserve">Variance</w:t>
            </w:r>
          </w:p>
        </w:tc>
        <w:tc>
          <w:tcPr/>
          <w:p>
            <w:pPr>
              <w:pStyle w:val="Compact"/>
            </w:pPr>
            <w:r>
              <w:t xml:space="preserve">Post-GFC</w:t>
            </w:r>
          </w:p>
        </w:tc>
        <w:tc>
          <w:tcPr/>
          <w:p>
            <w:pPr>
              <w:pStyle w:val="Compact"/>
            </w:pPr>
            <w:r>
              <w:t xml:space="preserve">0.162</w:t>
            </w:r>
          </w:p>
        </w:tc>
        <w:tc>
          <w:tcPr/>
          <w:p>
            <w:pPr>
              <w:pStyle w:val="Compact"/>
            </w:pPr>
            <w:r>
              <w:t xml:space="preserve">0.408</w:t>
            </w:r>
          </w:p>
        </w:tc>
        <w:tc>
          <w:tcPr/>
          <w:p>
            <w:pPr>
              <w:pStyle w:val="Compact"/>
            </w:pPr>
            <w:r>
              <w:t xml:space="preserve">0.744</w:t>
            </w:r>
          </w:p>
        </w:tc>
        <w:tc>
          <w:tcPr/>
          <w:p>
            <w:pPr>
              <w:pStyle w:val="Compact"/>
            </w:pPr>
            <w:r>
              <w:t xml:space="preserve">+0.246</w:t>
            </w:r>
          </w:p>
        </w:tc>
        <w:tc>
          <w:tcPr/>
          <w:p>
            <w:pPr>
              <w:pStyle w:val="Compact"/>
            </w:pPr>
            <w:r>
              <w:t xml:space="preserve">+0.582</w:t>
            </w:r>
          </w:p>
        </w:tc>
        <w:tc>
          <w:tcPr/>
          <w:p>
            <w:pPr>
              <w:pStyle w:val="Compact"/>
            </w:pPr>
            <w:r>
              <w:t xml:space="preserve">0.143</w:t>
            </w:r>
          </w:p>
        </w:tc>
        <w:tc>
          <w:tcPr/>
          <w:p>
            <w:pPr>
              <w:pStyle w:val="Compact"/>
            </w:pPr>
            <w:r>
              <w:t xml:space="preserve">0.108</w:t>
            </w:r>
          </w:p>
        </w:tc>
      </w:tr>
    </w:tbl>
    <w:p>
      <w:pPr>
        <w:pStyle w:val="BodyText"/>
      </w:pPr>
      <w:r>
        <w:t xml:space="preserve">The improvement is broad: FF5 raises R² for every family in both samples. Earlier gains are especially large for Operating Profitability (+0.879), Market Beta (+0.840), Momentum (+0.798), and Long-Term Reversal (+0.775). Post-GFC gains are smaller and more heterogeneous: only +0.036 for Momentum, versus +0.582 for Variance. Thus the factors' incremental cross-sectional content is much weaker for post-GFC momentum portfolios but remains substantial for variance-related sorts.</w:t>
      </w:r>
    </w:p>
    <w:p>
      <w:pPr>
        <w:pStyle w:val="BodyText"/>
      </w:pPr>
      <w:r>
        <w:t xml:space="preserve">The largest CAPM error across all earlier families is Small/High Momentum at +0.796% per month; Small/High Short-Term Reversal, Small/High Variance, and Small/High Residual Variance have errors from −0.671% to −0.697%. Post-GFC the largest is Small/High Variance at −0.797%, followed by Big/portfolio-3 Net Share Issues at +0.660% and Small/High Residual Variance at −0.642%. CAPM failures cluster in extreme characteristic cells, often among small firms, but are not exclusively small-stock phenomena.</w:t>
      </w:r>
    </w:p>
    <w:bookmarkEnd w:id="20"/>
    <w:bookmarkStart w:id="22" w:name="X97b5a6e7ba6c5c8f623d463e1f70a50d8ee9a4c"/>
    <w:p>
      <w:pPr>
        <w:pStyle w:val="Heading3"/>
      </w:pPr>
      <w:r>
        <w:t xml:space="preserve">3.3 HML inside FF5</w:t>
      </w:r>
    </w:p>
    <w:p>
      <w:pPr>
        <w:pStyle w:val="FirstParagraph"/>
      </w:pPr>
      <w:r>
        <w:t xml:space="preserve">The reduced cross section uses MKT, SMB, RMW, and CMA betas taken from the full FF5 first pass; the full cross section adds HML. Earlier Size × B/M is the clearest positive case: HML is 0.380% per month (t = 6.26) and adds 0.389 to R². Earlier Momentum is the clearest negative case: −0.872% (t = −4.58), adding 0.135. Market Beta is also positive and significant at 0.625% (t = 2.26). These opposite signs show that the HML price depends on which beta cross section identifies it.</w:t>
      </w:r>
    </w:p>
    <w:p>
      <w:pPr>
        <w:pStyle w:val="BodyText"/>
      </w:pPr>
      <w:r>
        <w:t xml:space="preserve">Post-GFC, only Long-Term Reversal is conventionally significant: −0.254% (t = −2.13), with ΔR² = 0.140. Size × B/M itself has essentially no incremental HML evidence in this period—0.006% (t = 0.08), ΔR² = 0.0002—while Momentum and Short-Term Reversal obtain positive but imprecise HML prices. HML is therefore neither uniformly indispensable nor uniformly redundant.</w:t>
      </w:r>
    </w:p>
    <w:p>
      <w:pPr>
        <w:pStyle w:val="BodyText"/>
      </w:pPr>
      <w:r>
        <w:t xml:space="preserve">The full family-level diagnostic appears in Appendix Table A1 and</w:t>
      </w:r>
      <w:r>
        <w:t xml:space="preserve"> </w:t>
      </w:r>
      <w:hyperlink r:id="rId21">
        <w:r>
          <w:rPr>
            <w:rStyle w:val="Hyperlink"/>
          </w:rPr>
          <w:t xml:space="preserve">the machine-readable HML table</w:t>
        </w:r>
      </w:hyperlink>
      <w:r>
        <w:t xml:space="preserve">.</w:t>
      </w:r>
    </w:p>
    <w:bookmarkEnd w:id="22"/>
    <w:bookmarkEnd w:id="23"/>
    <w:bookmarkStart w:id="31" w:name="X4c1a9b03370abef81795332dea3f96e28066f9d"/>
    <w:p>
      <w:pPr>
        <w:pStyle w:val="Heading2"/>
      </w:pPr>
      <w:r>
        <w:t xml:space="preserve">4. Fama–MacBeth Evidence</w:t>
      </w:r>
    </w:p>
    <w:bookmarkStart w:id="24" w:name="X16e2d1fab3e658fdc5cf08979262a409a6d3b02"/>
    <w:p>
      <w:pPr>
        <w:pStyle w:val="Heading3"/>
      </w:pPr>
      <w:r>
        <w:t xml:space="preserve">4.1 Eight specifications</w:t>
      </w:r>
    </w:p>
    <w:p>
      <w:pPr>
        <w:pStyle w:val="FirstParagraph"/>
      </w:pPr>
      <w:r>
        <w:t xml:space="preserve">Each cell below is the mean monthly lambda in percentage points followed by the conventional FM t-statistic in parentheses. HAC estimates use six lags and are available in the linked structured table.</w:t>
      </w:r>
    </w:p>
    <w:p>
      <w:pPr>
        <w:pStyle w:val="BodyText"/>
      </w:pPr>
      <w:r>
        <w:rPr>
          <w:b/>
          <w:bCs/>
        </w:rPr>
        <w:t xml:space="preserve">Table 3A. Combined univariate portfolios — Earlier.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Spec.</w:t>
            </w:r>
          </w:p>
        </w:tc>
        <w:tc>
          <w:tcPr/>
          <w:p>
            <w:pPr>
              <w:pStyle w:val="Compact"/>
            </w:pPr>
            <w:r>
              <w:t xml:space="preserve">Intercept</w:t>
            </w:r>
          </w:p>
        </w:tc>
        <w:tc>
          <w:tcPr/>
          <w:p>
            <w:pPr>
              <w:pStyle w:val="Compact"/>
            </w:pPr>
            <w:r>
              <w:t xml:space="preserve">MKT</w:t>
            </w:r>
          </w:p>
        </w:tc>
        <w:tc>
          <w:tcPr/>
          <w:p>
            <w:pPr>
              <w:pStyle w:val="Compact"/>
            </w:pPr>
            <w:r>
              <w:t xml:space="preserve">SMB</w:t>
            </w:r>
          </w:p>
        </w:tc>
        <w:tc>
          <w:tcPr/>
          <w:p>
            <w:pPr>
              <w:pStyle w:val="Compact"/>
            </w:pPr>
            <w:r>
              <w:t xml:space="preserve">HML</w:t>
            </w:r>
          </w:p>
        </w:tc>
        <w:tc>
          <w:tcPr/>
          <w:p>
            <w:pPr>
              <w:pStyle w:val="Compact"/>
            </w:pPr>
            <w:r>
              <w:t xml:space="preserve">RMW</w:t>
            </w:r>
          </w:p>
        </w:tc>
        <w:tc>
          <w:tcPr/>
          <w:p>
            <w:pPr>
              <w:pStyle w:val="Compact"/>
            </w:pPr>
            <w:r>
              <w:t xml:space="preserve">CMA</w:t>
            </w:r>
          </w:p>
        </w:tc>
      </w:tr>
      <w:tr>
        <w:tc>
          <w:tcPr/>
          <w:p>
            <w:pPr>
              <w:pStyle w:val="Compact"/>
            </w:pPr>
            <w:r>
              <w:t xml:space="preserve">1</w:t>
            </w:r>
          </w:p>
        </w:tc>
        <w:tc>
          <w:tcPr/>
          <w:p>
            <w:pPr>
              <w:pStyle w:val="Compact"/>
            </w:pPr>
            <w:r>
              <w:t xml:space="preserve">0.543 (2.69)</w:t>
            </w:r>
          </w:p>
        </w:tc>
        <w:tc>
          <w:tcPr/>
          <w:p>
            <w:pPr>
              <w:pStyle w:val="Compact"/>
            </w:pPr>
            <w:r>
              <w:t xml:space="preserve">-0.067 (-0.28)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0.520 (2.79)</w:t>
            </w:r>
          </w:p>
        </w:tc>
        <w:tc>
          <w:tcPr/>
          <w:p>
            <w:pPr>
              <w:pStyle w:val="Compact"/>
            </w:pPr>
            <w:r>
              <w:t xml:space="preserve">-0.072 (-0.35)</w:t>
            </w:r>
          </w:p>
        </w:tc>
        <w:tc>
          <w:tcPr/>
          <w:p>
            <w:pPr>
              <w:pStyle w:val="Compact"/>
            </w:pPr>
            <w:r>
              <w:t xml:space="preserve">0.061 (0.47)</w:t>
            </w:r>
          </w:p>
        </w:tc>
        <w:tc>
          <w:tcPr/>
          <w:p>
            <w:pPr>
              <w:pStyle w:val="Compact"/>
            </w:pPr>
            <w:r>
              <w:t xml:space="preserve">0.179 (1.50)</w:t>
            </w:r>
          </w:p>
        </w:tc>
        <w:tc>
          <w:tcPr/>
          <w:p>
            <w:pPr>
              <w:pStyle w:val="Compact"/>
            </w:pPr>
            <w:r>
              <w:t xml:space="preserve">—</w:t>
            </w:r>
          </w:p>
        </w:tc>
        <w:tc>
          <w:tcPr/>
          <w:p>
            <w:pPr>
              <w:pStyle w:val="Compact"/>
            </w:pPr>
            <w:r>
              <w:t xml:space="preserve">—</w:t>
            </w:r>
          </w:p>
        </w:tc>
      </w:tr>
      <w:tr>
        <w:tc>
          <w:tcPr/>
          <w:p>
            <w:pPr>
              <w:pStyle w:val="Compact"/>
            </w:pPr>
            <w:r>
              <w:t xml:space="preserve">3</w:t>
            </w:r>
          </w:p>
        </w:tc>
        <w:tc>
          <w:tcPr/>
          <w:p>
            <w:pPr>
              <w:pStyle w:val="Compact"/>
            </w:pPr>
            <w:r>
              <w:t xml:space="preserve">0.383 (1.83)</w:t>
            </w:r>
          </w:p>
        </w:tc>
        <w:tc>
          <w:tcPr/>
          <w:p>
            <w:pPr>
              <w:pStyle w:val="Compact"/>
            </w:pPr>
            <w:r>
              <w:t xml:space="preserve">0.087 (0.44)</w:t>
            </w:r>
          </w:p>
        </w:tc>
        <w:tc>
          <w:tcPr/>
          <w:p>
            <w:pPr>
              <w:pStyle w:val="Compact"/>
            </w:pPr>
            <w:r>
              <w:t xml:space="preserve">0.023 (0.17)</w:t>
            </w:r>
          </w:p>
        </w:tc>
        <w:tc>
          <w:tcPr/>
          <w:p>
            <w:pPr>
              <w:pStyle w:val="Compact"/>
            </w:pPr>
            <w:r>
              <w:t xml:space="preserve">—</w:t>
            </w:r>
          </w:p>
        </w:tc>
        <w:tc>
          <w:tcPr/>
          <w:p>
            <w:pPr>
              <w:pStyle w:val="Compact"/>
            </w:pPr>
            <w:r>
              <w:t xml:space="preserve">0.156 (1.75)</w:t>
            </w:r>
          </w:p>
        </w:tc>
        <w:tc>
          <w:tcPr/>
          <w:p>
            <w:pPr>
              <w:pStyle w:val="Compact"/>
            </w:pPr>
            <w:r>
              <w:t xml:space="preserve">—</w:t>
            </w:r>
          </w:p>
        </w:tc>
      </w:tr>
      <w:tr>
        <w:tc>
          <w:tcPr/>
          <w:p>
            <w:pPr>
              <w:pStyle w:val="Compact"/>
            </w:pPr>
            <w:r>
              <w:t xml:space="preserve">4</w:t>
            </w:r>
          </w:p>
        </w:tc>
        <w:tc>
          <w:tcPr/>
          <w:p>
            <w:pPr>
              <w:pStyle w:val="Compact"/>
            </w:pPr>
            <w:r>
              <w:t xml:space="preserve">0.584 (2.93)</w:t>
            </w:r>
          </w:p>
        </w:tc>
        <w:tc>
          <w:tcPr/>
          <w:p>
            <w:pPr>
              <w:pStyle w:val="Compact"/>
            </w:pPr>
            <w:r>
              <w:t xml:space="preserve">-0.103 (-0.50)</w:t>
            </w:r>
          </w:p>
        </w:tc>
        <w:tc>
          <w:tcPr/>
          <w:p>
            <w:pPr>
              <w:pStyle w:val="Compact"/>
            </w:pPr>
            <w:r>
              <w:t xml:space="preserve">0.135 (1.08)</w:t>
            </w:r>
          </w:p>
        </w:tc>
        <w:tc>
          <w:tcPr/>
          <w:p>
            <w:pPr>
              <w:pStyle w:val="Compact"/>
            </w:pPr>
            <w:r>
              <w:t xml:space="preserve">—</w:t>
            </w:r>
          </w:p>
        </w:tc>
        <w:tc>
          <w:tcPr/>
          <w:p>
            <w:pPr>
              <w:pStyle w:val="Compact"/>
            </w:pPr>
            <w:r>
              <w:t xml:space="preserve">—</w:t>
            </w:r>
          </w:p>
        </w:tc>
        <w:tc>
          <w:tcPr/>
          <w:p>
            <w:pPr>
              <w:pStyle w:val="Compact"/>
            </w:pPr>
            <w:r>
              <w:t xml:space="preserve">0.080 (1.03)</w:t>
            </w:r>
          </w:p>
        </w:tc>
      </w:tr>
      <w:tr>
        <w:tc>
          <w:tcPr/>
          <w:p>
            <w:pPr>
              <w:pStyle w:val="Compact"/>
            </w:pPr>
            <w:r>
              <w:t xml:space="preserve">5</w:t>
            </w:r>
          </w:p>
        </w:tc>
        <w:tc>
          <w:tcPr/>
          <w:p>
            <w:pPr>
              <w:pStyle w:val="Compact"/>
            </w:pPr>
            <w:r>
              <w:t xml:space="preserve">0.410 (2.02)</w:t>
            </w:r>
          </w:p>
        </w:tc>
        <w:tc>
          <w:tcPr/>
          <w:p>
            <w:pPr>
              <w:pStyle w:val="Compact"/>
            </w:pPr>
            <w:r>
              <w:t xml:space="preserve">0.041 (0.21)</w:t>
            </w:r>
          </w:p>
        </w:tc>
        <w:tc>
          <w:tcPr/>
          <w:p>
            <w:pPr>
              <w:pStyle w:val="Compact"/>
            </w:pPr>
            <w:r>
              <w:t xml:space="preserve">-0.023 (-0.17)</w:t>
            </w:r>
          </w:p>
        </w:tc>
        <w:tc>
          <w:tcPr/>
          <w:p>
            <w:pPr>
              <w:pStyle w:val="Compact"/>
            </w:pPr>
            <w:r>
              <w:t xml:space="preserve">0.087 (0.83)</w:t>
            </w:r>
          </w:p>
        </w:tc>
        <w:tc>
          <w:tcPr/>
          <w:p>
            <w:pPr>
              <w:pStyle w:val="Compact"/>
            </w:pPr>
            <w:r>
              <w:t xml:space="preserve">0.222 (2.18)</w:t>
            </w:r>
          </w:p>
        </w:tc>
        <w:tc>
          <w:tcPr/>
          <w:p>
            <w:pPr>
              <w:pStyle w:val="Compact"/>
            </w:pPr>
            <w:r>
              <w:t xml:space="preserve">—</w:t>
            </w:r>
          </w:p>
        </w:tc>
      </w:tr>
      <w:tr>
        <w:tc>
          <w:tcPr/>
          <w:p>
            <w:pPr>
              <w:pStyle w:val="Compact"/>
            </w:pPr>
            <w:r>
              <w:t xml:space="preserve">6</w:t>
            </w:r>
          </w:p>
        </w:tc>
        <w:tc>
          <w:tcPr/>
          <w:p>
            <w:pPr>
              <w:pStyle w:val="Compact"/>
            </w:pPr>
            <w:r>
              <w:t xml:space="preserve">0.493 (2.57)</w:t>
            </w:r>
          </w:p>
        </w:tc>
        <w:tc>
          <w:tcPr/>
          <w:p>
            <w:pPr>
              <w:pStyle w:val="Compact"/>
            </w:pPr>
            <w:r>
              <w:t xml:space="preserve">-0.032 (-0.15)</w:t>
            </w:r>
          </w:p>
        </w:tc>
        <w:tc>
          <w:tcPr/>
          <w:p>
            <w:pPr>
              <w:pStyle w:val="Compact"/>
            </w:pPr>
            <w:r>
              <w:t xml:space="preserve">0.094 (0.75)</w:t>
            </w:r>
          </w:p>
        </w:tc>
        <w:tc>
          <w:tcPr/>
          <w:p>
            <w:pPr>
              <w:pStyle w:val="Compact"/>
            </w:pPr>
            <w:r>
              <w:t xml:space="preserve">0.195 (1.80)</w:t>
            </w:r>
          </w:p>
        </w:tc>
        <w:tc>
          <w:tcPr/>
          <w:p>
            <w:pPr>
              <w:pStyle w:val="Compact"/>
            </w:pPr>
            <w:r>
              <w:t xml:space="preserve">—</w:t>
            </w:r>
          </w:p>
        </w:tc>
        <w:tc>
          <w:tcPr/>
          <w:p>
            <w:pPr>
              <w:pStyle w:val="Compact"/>
            </w:pPr>
            <w:r>
              <w:t xml:space="preserve">0.139 (1.60)</w:t>
            </w:r>
          </w:p>
        </w:tc>
      </w:tr>
      <w:tr>
        <w:tc>
          <w:tcPr/>
          <w:p>
            <w:pPr>
              <w:pStyle w:val="Compact"/>
            </w:pPr>
            <w:r>
              <w:t xml:space="preserve">7</w:t>
            </w:r>
          </w:p>
        </w:tc>
        <w:tc>
          <w:tcPr/>
          <w:p>
            <w:pPr>
              <w:pStyle w:val="Compact"/>
            </w:pPr>
            <w:r>
              <w:t xml:space="preserve">0.586 (2.95)</w:t>
            </w:r>
          </w:p>
        </w:tc>
        <w:tc>
          <w:tcPr/>
          <w:p>
            <w:pPr>
              <w:pStyle w:val="Compact"/>
            </w:pPr>
            <w:r>
              <w:t xml:space="preserve">-0.110 (-0.55)</w:t>
            </w:r>
          </w:p>
        </w:tc>
        <w:tc>
          <w:tcPr/>
          <w:p>
            <w:pPr>
              <w:pStyle w:val="Compact"/>
            </w:pPr>
            <w:r>
              <w:t xml:space="preserve">0.084 (0.66)</w:t>
            </w:r>
          </w:p>
        </w:tc>
        <w:tc>
          <w:tcPr/>
          <w:p>
            <w:pPr>
              <w:pStyle w:val="Compact"/>
            </w:pPr>
            <w:r>
              <w:t xml:space="preserve">—</w:t>
            </w:r>
          </w:p>
        </w:tc>
        <w:tc>
          <w:tcPr/>
          <w:p>
            <w:pPr>
              <w:pStyle w:val="Compact"/>
            </w:pPr>
            <w:r>
              <w:t xml:space="preserve">0.162 (2.11)</w:t>
            </w:r>
          </w:p>
        </w:tc>
        <w:tc>
          <w:tcPr/>
          <w:p>
            <w:pPr>
              <w:pStyle w:val="Compact"/>
            </w:pPr>
            <w:r>
              <w:t xml:space="preserve">0.050 (0.68)</w:t>
            </w:r>
          </w:p>
        </w:tc>
      </w:tr>
      <w:tr>
        <w:tc>
          <w:tcPr/>
          <w:p>
            <w:pPr>
              <w:pStyle w:val="Compact"/>
            </w:pPr>
            <w:r>
              <w:t xml:space="preserve">8</w:t>
            </w:r>
          </w:p>
        </w:tc>
        <w:tc>
          <w:tcPr/>
          <w:p>
            <w:pPr>
              <w:pStyle w:val="Compact"/>
            </w:pPr>
            <w:r>
              <w:t xml:space="preserve">0.513 (2.73)</w:t>
            </w:r>
          </w:p>
        </w:tc>
        <w:tc>
          <w:tcPr/>
          <w:p>
            <w:pPr>
              <w:pStyle w:val="Compact"/>
            </w:pPr>
            <w:r>
              <w:t xml:space="preserve">-0.061 (-0.30)</w:t>
            </w:r>
          </w:p>
        </w:tc>
        <w:tc>
          <w:tcPr/>
          <w:p>
            <w:pPr>
              <w:pStyle w:val="Compact"/>
            </w:pPr>
            <w:r>
              <w:t xml:space="preserve">0.035 (0.28)</w:t>
            </w:r>
          </w:p>
        </w:tc>
        <w:tc>
          <w:tcPr/>
          <w:p>
            <w:pPr>
              <w:pStyle w:val="Compact"/>
            </w:pPr>
            <w:r>
              <w:t xml:space="preserve">0.167 (1.41)</w:t>
            </w:r>
          </w:p>
        </w:tc>
        <w:tc>
          <w:tcPr/>
          <w:p>
            <w:pPr>
              <w:pStyle w:val="Compact"/>
            </w:pPr>
            <w:r>
              <w:t xml:space="preserve">0.181 (2.01)</w:t>
            </w:r>
          </w:p>
        </w:tc>
        <w:tc>
          <w:tcPr/>
          <w:p>
            <w:pPr>
              <w:pStyle w:val="Compact"/>
            </w:pPr>
            <w:r>
              <w:t xml:space="preserve">0.098 (1.16)</w:t>
            </w:r>
          </w:p>
        </w:tc>
      </w:tr>
    </w:tbl>
    <w:p>
      <w:pPr>
        <w:pStyle w:val="BodyText"/>
      </w:pPr>
      <w:r>
        <w:rPr>
          <w:b/>
          <w:bCs/>
        </w:rPr>
        <w:t xml:space="preserve">Table 3B. Combined univariate portfolios — Post-GFC.</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Spec.</w:t>
            </w:r>
          </w:p>
        </w:tc>
        <w:tc>
          <w:tcPr/>
          <w:p>
            <w:pPr>
              <w:pStyle w:val="Compact"/>
            </w:pPr>
            <w:r>
              <w:t xml:space="preserve">Intercept</w:t>
            </w:r>
          </w:p>
        </w:tc>
        <w:tc>
          <w:tcPr/>
          <w:p>
            <w:pPr>
              <w:pStyle w:val="Compact"/>
            </w:pPr>
            <w:r>
              <w:t xml:space="preserve">MKT</w:t>
            </w:r>
          </w:p>
        </w:tc>
        <w:tc>
          <w:tcPr/>
          <w:p>
            <w:pPr>
              <w:pStyle w:val="Compact"/>
            </w:pPr>
            <w:r>
              <w:t xml:space="preserve">SMB</w:t>
            </w:r>
          </w:p>
        </w:tc>
        <w:tc>
          <w:tcPr/>
          <w:p>
            <w:pPr>
              <w:pStyle w:val="Compact"/>
            </w:pPr>
            <w:r>
              <w:t xml:space="preserve">HML</w:t>
            </w:r>
          </w:p>
        </w:tc>
        <w:tc>
          <w:tcPr/>
          <w:p>
            <w:pPr>
              <w:pStyle w:val="Compact"/>
            </w:pPr>
            <w:r>
              <w:t xml:space="preserve">RMW</w:t>
            </w:r>
          </w:p>
        </w:tc>
        <w:tc>
          <w:tcPr/>
          <w:p>
            <w:pPr>
              <w:pStyle w:val="Compact"/>
            </w:pPr>
            <w:r>
              <w:t xml:space="preserve">CMA</w:t>
            </w:r>
          </w:p>
        </w:tc>
      </w:tr>
      <w:tr>
        <w:tc>
          <w:tcPr/>
          <w:p>
            <w:pPr>
              <w:pStyle w:val="Compact"/>
            </w:pPr>
            <w:r>
              <w:t xml:space="preserve">1</w:t>
            </w:r>
          </w:p>
        </w:tc>
        <w:tc>
          <w:tcPr/>
          <w:p>
            <w:pPr>
              <w:pStyle w:val="Compact"/>
            </w:pPr>
            <w:r>
              <w:t xml:space="preserve">0.874 (2.53)</w:t>
            </w:r>
          </w:p>
        </w:tc>
        <w:tc>
          <w:tcPr/>
          <w:p>
            <w:pPr>
              <w:pStyle w:val="Compact"/>
            </w:pPr>
            <w:r>
              <w:t xml:space="preserve">0.178 (0.44)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0.614 (1.86)</w:t>
            </w:r>
          </w:p>
        </w:tc>
        <w:tc>
          <w:tcPr/>
          <w:p>
            <w:pPr>
              <w:pStyle w:val="Compact"/>
            </w:pPr>
            <w:r>
              <w:t xml:space="preserve">0.450 (1.27)</w:t>
            </w:r>
          </w:p>
        </w:tc>
        <w:tc>
          <w:tcPr/>
          <w:p>
            <w:pPr>
              <w:pStyle w:val="Compact"/>
            </w:pPr>
            <w:r>
              <w:t xml:space="preserve">-0.169 (-0.79)</w:t>
            </w:r>
          </w:p>
        </w:tc>
        <w:tc>
          <w:tcPr/>
          <w:p>
            <w:pPr>
              <w:pStyle w:val="Compact"/>
            </w:pPr>
            <w:r>
              <w:t xml:space="preserve">-0.225 (-0.87)</w:t>
            </w:r>
          </w:p>
        </w:tc>
        <w:tc>
          <w:tcPr/>
          <w:p>
            <w:pPr>
              <w:pStyle w:val="Compact"/>
            </w:pPr>
            <w:r>
              <w:t xml:space="preserve">—</w:t>
            </w:r>
          </w:p>
        </w:tc>
        <w:tc>
          <w:tcPr/>
          <w:p>
            <w:pPr>
              <w:pStyle w:val="Compact"/>
            </w:pPr>
            <w:r>
              <w:t xml:space="preserve">—</w:t>
            </w:r>
          </w:p>
        </w:tc>
      </w:tr>
      <w:tr>
        <w:tc>
          <w:tcPr/>
          <w:p>
            <w:pPr>
              <w:pStyle w:val="Compact"/>
            </w:pPr>
            <w:r>
              <w:t xml:space="preserve">3</w:t>
            </w:r>
          </w:p>
        </w:tc>
        <w:tc>
          <w:tcPr/>
          <w:p>
            <w:pPr>
              <w:pStyle w:val="Compact"/>
            </w:pPr>
            <w:r>
              <w:t xml:space="preserve">0.755 (1.89)</w:t>
            </w:r>
          </w:p>
        </w:tc>
        <w:tc>
          <w:tcPr/>
          <w:p>
            <w:pPr>
              <w:pStyle w:val="Compact"/>
            </w:pPr>
            <w:r>
              <w:t xml:space="preserve">0.313 (0.73)</w:t>
            </w:r>
          </w:p>
        </w:tc>
        <w:tc>
          <w:tcPr/>
          <w:p>
            <w:pPr>
              <w:pStyle w:val="Compact"/>
            </w:pPr>
            <w:r>
              <w:t xml:space="preserve">-0.147 (-0.64)</w:t>
            </w:r>
          </w:p>
        </w:tc>
        <w:tc>
          <w:tcPr/>
          <w:p>
            <w:pPr>
              <w:pStyle w:val="Compact"/>
            </w:pPr>
            <w:r>
              <w:t xml:space="preserve">—</w:t>
            </w:r>
          </w:p>
        </w:tc>
        <w:tc>
          <w:tcPr/>
          <w:p>
            <w:pPr>
              <w:pStyle w:val="Compact"/>
            </w:pPr>
            <w:r>
              <w:t xml:space="preserve">-0.053 (-0.33)</w:t>
            </w:r>
          </w:p>
        </w:tc>
        <w:tc>
          <w:tcPr/>
          <w:p>
            <w:pPr>
              <w:pStyle w:val="Compact"/>
            </w:pPr>
            <w:r>
              <w:t xml:space="preserve">—</w:t>
            </w:r>
          </w:p>
        </w:tc>
      </w:tr>
      <w:tr>
        <w:tc>
          <w:tcPr/>
          <w:p>
            <w:pPr>
              <w:pStyle w:val="Compact"/>
            </w:pPr>
            <w:r>
              <w:t xml:space="preserve">4</w:t>
            </w:r>
          </w:p>
        </w:tc>
        <w:tc>
          <w:tcPr/>
          <w:p>
            <w:pPr>
              <w:pStyle w:val="Compact"/>
            </w:pPr>
            <w:r>
              <w:t xml:space="preserve">0.706 (1.89)</w:t>
            </w:r>
          </w:p>
        </w:tc>
        <w:tc>
          <w:tcPr/>
          <w:p>
            <w:pPr>
              <w:pStyle w:val="Compact"/>
            </w:pPr>
            <w:r>
              <w:t xml:space="preserve">0.367 (0.88)</w:t>
            </w:r>
          </w:p>
        </w:tc>
        <w:tc>
          <w:tcPr/>
          <w:p>
            <w:pPr>
              <w:pStyle w:val="Compact"/>
            </w:pPr>
            <w:r>
              <w:t xml:space="preserve">-0.089 (-0.40)</w:t>
            </w:r>
          </w:p>
        </w:tc>
        <w:tc>
          <w:tcPr/>
          <w:p>
            <w:pPr>
              <w:pStyle w:val="Compact"/>
            </w:pPr>
            <w:r>
              <w:t xml:space="preserve">—</w:t>
            </w:r>
          </w:p>
        </w:tc>
        <w:tc>
          <w:tcPr/>
          <w:p>
            <w:pPr>
              <w:pStyle w:val="Compact"/>
            </w:pPr>
            <w:r>
              <w:t xml:space="preserve">—</w:t>
            </w:r>
          </w:p>
        </w:tc>
        <w:tc>
          <w:tcPr/>
          <w:p>
            <w:pPr>
              <w:pStyle w:val="Compact"/>
            </w:pPr>
            <w:r>
              <w:t xml:space="preserve">-0.116 (-0.96)</w:t>
            </w:r>
          </w:p>
        </w:tc>
      </w:tr>
      <w:tr>
        <w:tc>
          <w:tcPr/>
          <w:p>
            <w:pPr>
              <w:pStyle w:val="Compact"/>
            </w:pPr>
            <w:r>
              <w:t xml:space="preserve">5</w:t>
            </w:r>
          </w:p>
        </w:tc>
        <w:tc>
          <w:tcPr/>
          <w:p>
            <w:pPr>
              <w:pStyle w:val="Compact"/>
            </w:pPr>
            <w:r>
              <w:t xml:space="preserve">0.602 (1.72)</w:t>
            </w:r>
          </w:p>
        </w:tc>
        <w:tc>
          <w:tcPr/>
          <w:p>
            <w:pPr>
              <w:pStyle w:val="Compact"/>
            </w:pPr>
            <w:r>
              <w:t xml:space="preserve">0.458 (1.26)</w:t>
            </w:r>
          </w:p>
        </w:tc>
        <w:tc>
          <w:tcPr/>
          <w:p>
            <w:pPr>
              <w:pStyle w:val="Compact"/>
            </w:pPr>
            <w:r>
              <w:t xml:space="preserve">-0.254 (-1.18)</w:t>
            </w:r>
          </w:p>
        </w:tc>
        <w:tc>
          <w:tcPr/>
          <w:p>
            <w:pPr>
              <w:pStyle w:val="Compact"/>
            </w:pPr>
            <w:r>
              <w:t xml:space="preserve">-0.080 (-0.36)</w:t>
            </w:r>
          </w:p>
        </w:tc>
        <w:tc>
          <w:tcPr/>
          <w:p>
            <w:pPr>
              <w:pStyle w:val="Compact"/>
            </w:pPr>
            <w:r>
              <w:t xml:space="preserve">0.011 (0.07)</w:t>
            </w:r>
          </w:p>
        </w:tc>
        <w:tc>
          <w:tcPr/>
          <w:p>
            <w:pPr>
              <w:pStyle w:val="Compact"/>
            </w:pPr>
            <w:r>
              <w:t xml:space="preserve">—</w:t>
            </w:r>
          </w:p>
        </w:tc>
      </w:tr>
      <w:tr>
        <w:tc>
          <w:tcPr/>
          <w:p>
            <w:pPr>
              <w:pStyle w:val="Compact"/>
            </w:pPr>
            <w:r>
              <w:t xml:space="preserve">6</w:t>
            </w:r>
          </w:p>
        </w:tc>
        <w:tc>
          <w:tcPr/>
          <w:p>
            <w:pPr>
              <w:pStyle w:val="Compact"/>
            </w:pPr>
            <w:r>
              <w:t xml:space="preserve">0.691 (2.17)</w:t>
            </w:r>
          </w:p>
        </w:tc>
        <w:tc>
          <w:tcPr/>
          <w:p>
            <w:pPr>
              <w:pStyle w:val="Compact"/>
            </w:pPr>
            <w:r>
              <w:t xml:space="preserve">0.375 (1.06)</w:t>
            </w:r>
          </w:p>
        </w:tc>
        <w:tc>
          <w:tcPr/>
          <w:p>
            <w:pPr>
              <w:pStyle w:val="Compact"/>
            </w:pPr>
            <w:r>
              <w:t xml:space="preserve">-0.167 (-0.83)</w:t>
            </w:r>
          </w:p>
        </w:tc>
        <w:tc>
          <w:tcPr/>
          <w:p>
            <w:pPr>
              <w:pStyle w:val="Compact"/>
            </w:pPr>
            <w:r>
              <w:t xml:space="preserve">-0.180 (-0.70)</w:t>
            </w:r>
          </w:p>
        </w:tc>
        <w:tc>
          <w:tcPr/>
          <w:p>
            <w:pPr>
              <w:pStyle w:val="Compact"/>
            </w:pPr>
            <w:r>
              <w:t xml:space="preserve">—</w:t>
            </w:r>
          </w:p>
        </w:tc>
        <w:tc>
          <w:tcPr/>
          <w:p>
            <w:pPr>
              <w:pStyle w:val="Compact"/>
            </w:pPr>
            <w:r>
              <w:t xml:space="preserve">-0.118 (-0.75)</w:t>
            </w:r>
          </w:p>
        </w:tc>
      </w:tr>
      <w:tr>
        <w:tc>
          <w:tcPr/>
          <w:p>
            <w:pPr>
              <w:pStyle w:val="Compact"/>
            </w:pPr>
            <w:r>
              <w:t xml:space="preserve">7</w:t>
            </w:r>
          </w:p>
        </w:tc>
        <w:tc>
          <w:tcPr/>
          <w:p>
            <w:pPr>
              <w:pStyle w:val="Compact"/>
            </w:pPr>
            <w:r>
              <w:t xml:space="preserve">0.749 (1.98)</w:t>
            </w:r>
          </w:p>
        </w:tc>
        <w:tc>
          <w:tcPr/>
          <w:p>
            <w:pPr>
              <w:pStyle w:val="Compact"/>
            </w:pPr>
            <w:r>
              <w:t xml:space="preserve">0.324 (0.80)</w:t>
            </w:r>
          </w:p>
        </w:tc>
        <w:tc>
          <w:tcPr/>
          <w:p>
            <w:pPr>
              <w:pStyle w:val="Compact"/>
            </w:pPr>
            <w:r>
              <w:t xml:space="preserve">-0.071 (-0.31)</w:t>
            </w:r>
          </w:p>
        </w:tc>
        <w:tc>
          <w:tcPr/>
          <w:p>
            <w:pPr>
              <w:pStyle w:val="Compact"/>
            </w:pPr>
            <w:r>
              <w:t xml:space="preserve">—</w:t>
            </w:r>
          </w:p>
        </w:tc>
        <w:tc>
          <w:tcPr/>
          <w:p>
            <w:pPr>
              <w:pStyle w:val="Compact"/>
            </w:pPr>
            <w:r>
              <w:t xml:space="preserve">-0.050 (-0.31)</w:t>
            </w:r>
          </w:p>
        </w:tc>
        <w:tc>
          <w:tcPr/>
          <w:p>
            <w:pPr>
              <w:pStyle w:val="Compact"/>
            </w:pPr>
            <w:r>
              <w:t xml:space="preserve">-0.094 (-0.81)</w:t>
            </w:r>
          </w:p>
        </w:tc>
      </w:tr>
      <w:tr>
        <w:tc>
          <w:tcPr/>
          <w:p>
            <w:pPr>
              <w:pStyle w:val="Compact"/>
            </w:pPr>
            <w:r>
              <w:t xml:space="preserve">8</w:t>
            </w:r>
          </w:p>
        </w:tc>
        <w:tc>
          <w:tcPr/>
          <w:p>
            <w:pPr>
              <w:pStyle w:val="Compact"/>
            </w:pPr>
            <w:r>
              <w:t xml:space="preserve">0.640 (1.96)</w:t>
            </w:r>
          </w:p>
        </w:tc>
        <w:tc>
          <w:tcPr/>
          <w:p>
            <w:pPr>
              <w:pStyle w:val="Compact"/>
            </w:pPr>
            <w:r>
              <w:t xml:space="preserve">0.426 (1.28)</w:t>
            </w:r>
          </w:p>
        </w:tc>
        <w:tc>
          <w:tcPr/>
          <w:p>
            <w:pPr>
              <w:pStyle w:val="Compact"/>
            </w:pPr>
            <w:r>
              <w:t xml:space="preserve">-0.207 (-1.00)</w:t>
            </w:r>
          </w:p>
        </w:tc>
        <w:tc>
          <w:tcPr/>
          <w:p>
            <w:pPr>
              <w:pStyle w:val="Compact"/>
            </w:pPr>
            <w:r>
              <w:t xml:space="preserve">-0.148 (-0.58)</w:t>
            </w:r>
          </w:p>
        </w:tc>
        <w:tc>
          <w:tcPr/>
          <w:p>
            <w:pPr>
              <w:pStyle w:val="Compact"/>
            </w:pPr>
            <w:r>
              <w:t xml:space="preserve">0.051 (0.35)</w:t>
            </w:r>
          </w:p>
        </w:tc>
        <w:tc>
          <w:tcPr/>
          <w:p>
            <w:pPr>
              <w:pStyle w:val="Compact"/>
            </w:pPr>
            <w:r>
              <w:t xml:space="preserve">-0.097 (-0.62)</w:t>
            </w:r>
          </w:p>
        </w:tc>
      </w:tr>
    </w:tbl>
    <w:p>
      <w:pPr>
        <w:pStyle w:val="BodyText"/>
      </w:pPr>
      <w:r>
        <w:rPr>
          <w:b/>
          <w:bCs/>
        </w:rPr>
        <w:t xml:space="preserve">Table 4A. 49 industries — Earlier.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Spec.</w:t>
            </w:r>
          </w:p>
        </w:tc>
        <w:tc>
          <w:tcPr/>
          <w:p>
            <w:pPr>
              <w:pStyle w:val="Compact"/>
            </w:pPr>
            <w:r>
              <w:t xml:space="preserve">Intercept</w:t>
            </w:r>
          </w:p>
        </w:tc>
        <w:tc>
          <w:tcPr/>
          <w:p>
            <w:pPr>
              <w:pStyle w:val="Compact"/>
            </w:pPr>
            <w:r>
              <w:t xml:space="preserve">MKT</w:t>
            </w:r>
          </w:p>
        </w:tc>
        <w:tc>
          <w:tcPr/>
          <w:p>
            <w:pPr>
              <w:pStyle w:val="Compact"/>
            </w:pPr>
            <w:r>
              <w:t xml:space="preserve">SMB</w:t>
            </w:r>
          </w:p>
        </w:tc>
        <w:tc>
          <w:tcPr/>
          <w:p>
            <w:pPr>
              <w:pStyle w:val="Compact"/>
            </w:pPr>
            <w:r>
              <w:t xml:space="preserve">HML</w:t>
            </w:r>
          </w:p>
        </w:tc>
        <w:tc>
          <w:tcPr/>
          <w:p>
            <w:pPr>
              <w:pStyle w:val="Compact"/>
            </w:pPr>
            <w:r>
              <w:t xml:space="preserve">RMW</w:t>
            </w:r>
          </w:p>
        </w:tc>
        <w:tc>
          <w:tcPr/>
          <w:p>
            <w:pPr>
              <w:pStyle w:val="Compact"/>
            </w:pPr>
            <w:r>
              <w:t xml:space="preserve">CMA</w:t>
            </w:r>
          </w:p>
        </w:tc>
      </w:tr>
      <w:tr>
        <w:tc>
          <w:tcPr/>
          <w:p>
            <w:pPr>
              <w:pStyle w:val="Compact"/>
            </w:pPr>
            <w:r>
              <w:t xml:space="preserve">1</w:t>
            </w:r>
          </w:p>
        </w:tc>
        <w:tc>
          <w:tcPr/>
          <w:p>
            <w:pPr>
              <w:pStyle w:val="Compact"/>
            </w:pPr>
            <w:r>
              <w:t xml:space="preserve">0.547 (2.73)</w:t>
            </w:r>
          </w:p>
        </w:tc>
        <w:tc>
          <w:tcPr/>
          <w:p>
            <w:pPr>
              <w:pStyle w:val="Compact"/>
            </w:pPr>
            <w:r>
              <w:t xml:space="preserve">0.003 (0.01)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0.496 (2.66)</w:t>
            </w:r>
          </w:p>
        </w:tc>
        <w:tc>
          <w:tcPr/>
          <w:p>
            <w:pPr>
              <w:pStyle w:val="Compact"/>
            </w:pPr>
            <w:r>
              <w:t xml:space="preserve">-0.004 (-0.02)</w:t>
            </w:r>
          </w:p>
        </w:tc>
        <w:tc>
          <w:tcPr/>
          <w:p>
            <w:pPr>
              <w:pStyle w:val="Compact"/>
            </w:pPr>
            <w:r>
              <w:t xml:space="preserve">-0.002 (-0.02)</w:t>
            </w:r>
          </w:p>
        </w:tc>
        <w:tc>
          <w:tcPr/>
          <w:p>
            <w:pPr>
              <w:pStyle w:val="Compact"/>
            </w:pPr>
            <w:r>
              <w:t xml:space="preserve">0.254 (2.08)</w:t>
            </w:r>
          </w:p>
        </w:tc>
        <w:tc>
          <w:tcPr/>
          <w:p>
            <w:pPr>
              <w:pStyle w:val="Compact"/>
            </w:pPr>
            <w:r>
              <w:t xml:space="preserve">—</w:t>
            </w:r>
          </w:p>
        </w:tc>
        <w:tc>
          <w:tcPr/>
          <w:p>
            <w:pPr>
              <w:pStyle w:val="Compact"/>
            </w:pPr>
            <w:r>
              <w:t xml:space="preserve">—</w:t>
            </w:r>
          </w:p>
        </w:tc>
      </w:tr>
      <w:tr>
        <w:tc>
          <w:tcPr/>
          <w:p>
            <w:pPr>
              <w:pStyle w:val="Compact"/>
            </w:pPr>
            <w:r>
              <w:t xml:space="preserve">3</w:t>
            </w:r>
          </w:p>
        </w:tc>
        <w:tc>
          <w:tcPr/>
          <w:p>
            <w:pPr>
              <w:pStyle w:val="Compact"/>
            </w:pPr>
            <w:r>
              <w:t xml:space="preserve">0.577 (3.01)</w:t>
            </w:r>
          </w:p>
        </w:tc>
        <w:tc>
          <w:tcPr/>
          <w:p>
            <w:pPr>
              <w:pStyle w:val="Compact"/>
            </w:pPr>
            <w:r>
              <w:t xml:space="preserve">-0.038 (-0.20)</w:t>
            </w:r>
          </w:p>
        </w:tc>
        <w:tc>
          <w:tcPr/>
          <w:p>
            <w:pPr>
              <w:pStyle w:val="Compact"/>
            </w:pPr>
            <w:r>
              <w:t xml:space="preserve">-0.067 (-0.55)</w:t>
            </w:r>
          </w:p>
        </w:tc>
        <w:tc>
          <w:tcPr/>
          <w:p>
            <w:pPr>
              <w:pStyle w:val="Compact"/>
            </w:pPr>
            <w:r>
              <w:t xml:space="preserve">—</w:t>
            </w:r>
          </w:p>
        </w:tc>
        <w:tc>
          <w:tcPr/>
          <w:p>
            <w:pPr>
              <w:pStyle w:val="Compact"/>
            </w:pPr>
            <w:r>
              <w:t xml:space="preserve">0.113 (1.45)</w:t>
            </w:r>
          </w:p>
        </w:tc>
        <w:tc>
          <w:tcPr/>
          <w:p>
            <w:pPr>
              <w:pStyle w:val="Compact"/>
            </w:pPr>
            <w:r>
              <w:t xml:space="preserve">—</w:t>
            </w:r>
          </w:p>
        </w:tc>
      </w:tr>
      <w:tr>
        <w:tc>
          <w:tcPr/>
          <w:p>
            <w:pPr>
              <w:pStyle w:val="Compact"/>
            </w:pPr>
            <w:r>
              <w:t xml:space="preserve">4</w:t>
            </w:r>
          </w:p>
        </w:tc>
        <w:tc>
          <w:tcPr/>
          <w:p>
            <w:pPr>
              <w:pStyle w:val="Compact"/>
            </w:pPr>
            <w:r>
              <w:t xml:space="preserve">0.512 (2.91)</w:t>
            </w:r>
          </w:p>
        </w:tc>
        <w:tc>
          <w:tcPr/>
          <w:p>
            <w:pPr>
              <w:pStyle w:val="Compact"/>
            </w:pPr>
            <w:r>
              <w:t xml:space="preserve">0.010 (0.05)</w:t>
            </w:r>
          </w:p>
        </w:tc>
        <w:tc>
          <w:tcPr/>
          <w:p>
            <w:pPr>
              <w:pStyle w:val="Compact"/>
            </w:pPr>
            <w:r>
              <w:t xml:space="preserve">0.040 (0.34)</w:t>
            </w:r>
          </w:p>
        </w:tc>
        <w:tc>
          <w:tcPr/>
          <w:p>
            <w:pPr>
              <w:pStyle w:val="Compact"/>
            </w:pPr>
            <w:r>
              <w:t xml:space="preserve">—</w:t>
            </w:r>
          </w:p>
        </w:tc>
        <w:tc>
          <w:tcPr/>
          <w:p>
            <w:pPr>
              <w:pStyle w:val="Compact"/>
            </w:pPr>
            <w:r>
              <w:t xml:space="preserve">—</w:t>
            </w:r>
          </w:p>
        </w:tc>
        <w:tc>
          <w:tcPr/>
          <w:p>
            <w:pPr>
              <w:pStyle w:val="Compact"/>
            </w:pPr>
            <w:r>
              <w:t xml:space="preserve">0.084 (1.14)</w:t>
            </w:r>
          </w:p>
        </w:tc>
      </w:tr>
      <w:tr>
        <w:tc>
          <w:tcPr/>
          <w:p>
            <w:pPr>
              <w:pStyle w:val="Compact"/>
            </w:pPr>
            <w:r>
              <w:t xml:space="preserve">5</w:t>
            </w:r>
          </w:p>
        </w:tc>
        <w:tc>
          <w:tcPr/>
          <w:p>
            <w:pPr>
              <w:pStyle w:val="Compact"/>
            </w:pPr>
            <w:r>
              <w:t xml:space="preserve">0.506 (2.67)</w:t>
            </w:r>
          </w:p>
        </w:tc>
        <w:tc>
          <w:tcPr/>
          <w:p>
            <w:pPr>
              <w:pStyle w:val="Compact"/>
            </w:pPr>
            <w:r>
              <w:t xml:space="preserve">0.003 (0.02)</w:t>
            </w:r>
          </w:p>
        </w:tc>
        <w:tc>
          <w:tcPr/>
          <w:p>
            <w:pPr>
              <w:pStyle w:val="Compact"/>
            </w:pPr>
            <w:r>
              <w:t xml:space="preserve">-0.132 (-1.01)</w:t>
            </w:r>
          </w:p>
        </w:tc>
        <w:tc>
          <w:tcPr/>
          <w:p>
            <w:pPr>
              <w:pStyle w:val="Compact"/>
            </w:pPr>
            <w:r>
              <w:t xml:space="preserve">0.145 (1.52)</w:t>
            </w:r>
          </w:p>
        </w:tc>
        <w:tc>
          <w:tcPr/>
          <w:p>
            <w:pPr>
              <w:pStyle w:val="Compact"/>
            </w:pPr>
            <w:r>
              <w:t xml:space="preserve">0.164 (1.76)</w:t>
            </w:r>
          </w:p>
        </w:tc>
        <w:tc>
          <w:tcPr/>
          <w:p>
            <w:pPr>
              <w:pStyle w:val="Compact"/>
            </w:pPr>
            <w:r>
              <w:t xml:space="preserve">—</w:t>
            </w:r>
          </w:p>
        </w:tc>
      </w:tr>
      <w:tr>
        <w:tc>
          <w:tcPr/>
          <w:p>
            <w:pPr>
              <w:pStyle w:val="Compact"/>
            </w:pPr>
            <w:r>
              <w:t xml:space="preserve">6</w:t>
            </w:r>
          </w:p>
        </w:tc>
        <w:tc>
          <w:tcPr/>
          <w:p>
            <w:pPr>
              <w:pStyle w:val="Compact"/>
            </w:pPr>
            <w:r>
              <w:t xml:space="preserve">0.511 (2.90)</w:t>
            </w:r>
          </w:p>
        </w:tc>
        <w:tc>
          <w:tcPr/>
          <w:p>
            <w:pPr>
              <w:pStyle w:val="Compact"/>
            </w:pPr>
            <w:r>
              <w:t xml:space="preserve">0.005 (0.02)</w:t>
            </w:r>
          </w:p>
        </w:tc>
        <w:tc>
          <w:tcPr/>
          <w:p>
            <w:pPr>
              <w:pStyle w:val="Compact"/>
            </w:pPr>
            <w:r>
              <w:t xml:space="preserve">0.012 (0.10)</w:t>
            </w:r>
          </w:p>
        </w:tc>
        <w:tc>
          <w:tcPr/>
          <w:p>
            <w:pPr>
              <w:pStyle w:val="Compact"/>
            </w:pPr>
            <w:r>
              <w:t xml:space="preserve">0.190 (1.86)</w:t>
            </w:r>
          </w:p>
        </w:tc>
        <w:tc>
          <w:tcPr/>
          <w:p>
            <w:pPr>
              <w:pStyle w:val="Compact"/>
            </w:pPr>
            <w:r>
              <w:t xml:space="preserve">—</w:t>
            </w:r>
          </w:p>
        </w:tc>
        <w:tc>
          <w:tcPr/>
          <w:p>
            <w:pPr>
              <w:pStyle w:val="Compact"/>
            </w:pPr>
            <w:r>
              <w:t xml:space="preserve">0.147 (1.70)</w:t>
            </w:r>
          </w:p>
        </w:tc>
      </w:tr>
      <w:tr>
        <w:tc>
          <w:tcPr/>
          <w:p>
            <w:pPr>
              <w:pStyle w:val="Compact"/>
            </w:pPr>
            <w:r>
              <w:t xml:space="preserve">7</w:t>
            </w:r>
          </w:p>
        </w:tc>
        <w:tc>
          <w:tcPr/>
          <w:p>
            <w:pPr>
              <w:pStyle w:val="Compact"/>
            </w:pPr>
            <w:r>
              <w:t xml:space="preserve">0.535 (2.98)</w:t>
            </w:r>
          </w:p>
        </w:tc>
        <w:tc>
          <w:tcPr/>
          <w:p>
            <w:pPr>
              <w:pStyle w:val="Compact"/>
            </w:pPr>
            <w:r>
              <w:t xml:space="preserve">-0.002 (-0.01)</w:t>
            </w:r>
          </w:p>
        </w:tc>
        <w:tc>
          <w:tcPr/>
          <w:p>
            <w:pPr>
              <w:pStyle w:val="Compact"/>
            </w:pPr>
            <w:r>
              <w:t xml:space="preserve">-0.031 (-0.26)</w:t>
            </w:r>
          </w:p>
        </w:tc>
        <w:tc>
          <w:tcPr/>
          <w:p>
            <w:pPr>
              <w:pStyle w:val="Compact"/>
            </w:pPr>
            <w:r>
              <w:t xml:space="preserve">—</w:t>
            </w:r>
          </w:p>
        </w:tc>
        <w:tc>
          <w:tcPr/>
          <w:p>
            <w:pPr>
              <w:pStyle w:val="Compact"/>
            </w:pPr>
            <w:r>
              <w:t xml:space="preserve">0.074 (0.98)</w:t>
            </w:r>
          </w:p>
        </w:tc>
        <w:tc>
          <w:tcPr/>
          <w:p>
            <w:pPr>
              <w:pStyle w:val="Compact"/>
            </w:pPr>
            <w:r>
              <w:t xml:space="preserve">0.070 (0.97)</w:t>
            </w:r>
          </w:p>
        </w:tc>
      </w:tr>
      <w:tr>
        <w:tc>
          <w:tcPr/>
          <w:p>
            <w:pPr>
              <w:pStyle w:val="Compact"/>
            </w:pPr>
            <w:r>
              <w:t xml:space="preserve">8</w:t>
            </w:r>
          </w:p>
        </w:tc>
        <w:tc>
          <w:tcPr/>
          <w:p>
            <w:pPr>
              <w:pStyle w:val="Compact"/>
            </w:pPr>
            <w:r>
              <w:t xml:space="preserve">0.490 (2.74)</w:t>
            </w:r>
          </w:p>
        </w:tc>
        <w:tc>
          <w:tcPr/>
          <w:p>
            <w:pPr>
              <w:pStyle w:val="Compact"/>
            </w:pPr>
            <w:r>
              <w:t xml:space="preserve">0.002 (0.01)</w:t>
            </w:r>
          </w:p>
        </w:tc>
        <w:tc>
          <w:tcPr/>
          <w:p>
            <w:pPr>
              <w:pStyle w:val="Compact"/>
            </w:pPr>
            <w:r>
              <w:t xml:space="preserve">-0.057 (-0.45)</w:t>
            </w:r>
          </w:p>
        </w:tc>
        <w:tc>
          <w:tcPr/>
          <w:p>
            <w:pPr>
              <w:pStyle w:val="Compact"/>
            </w:pPr>
            <w:r>
              <w:t xml:space="preserve">0.238 (1.98)</w:t>
            </w:r>
          </w:p>
        </w:tc>
        <w:tc>
          <w:tcPr/>
          <w:p>
            <w:pPr>
              <w:pStyle w:val="Compact"/>
            </w:pPr>
            <w:r>
              <w:t xml:space="preserve">0.068 (0.72)</w:t>
            </w:r>
          </w:p>
        </w:tc>
        <w:tc>
          <w:tcPr/>
          <w:p>
            <w:pPr>
              <w:pStyle w:val="Compact"/>
            </w:pPr>
            <w:r>
              <w:t xml:space="preserve">0.157 (1.71)</w:t>
            </w:r>
          </w:p>
        </w:tc>
      </w:tr>
    </w:tbl>
    <w:p>
      <w:pPr>
        <w:pStyle w:val="BodyText"/>
      </w:pPr>
      <w:r>
        <w:rPr>
          <w:b/>
          <w:bCs/>
        </w:rPr>
        <w:t xml:space="preserve">Table 4B. 49 industries — Post-GFC.</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Spec.</w:t>
            </w:r>
          </w:p>
        </w:tc>
        <w:tc>
          <w:tcPr/>
          <w:p>
            <w:pPr>
              <w:pStyle w:val="Compact"/>
            </w:pPr>
            <w:r>
              <w:t xml:space="preserve">Intercept</w:t>
            </w:r>
          </w:p>
        </w:tc>
        <w:tc>
          <w:tcPr/>
          <w:p>
            <w:pPr>
              <w:pStyle w:val="Compact"/>
            </w:pPr>
            <w:r>
              <w:t xml:space="preserve">MKT</w:t>
            </w:r>
          </w:p>
        </w:tc>
        <w:tc>
          <w:tcPr/>
          <w:p>
            <w:pPr>
              <w:pStyle w:val="Compact"/>
            </w:pPr>
            <w:r>
              <w:t xml:space="preserve">SMB</w:t>
            </w:r>
          </w:p>
        </w:tc>
        <w:tc>
          <w:tcPr/>
          <w:p>
            <w:pPr>
              <w:pStyle w:val="Compact"/>
            </w:pPr>
            <w:r>
              <w:t xml:space="preserve">HML</w:t>
            </w:r>
          </w:p>
        </w:tc>
        <w:tc>
          <w:tcPr/>
          <w:p>
            <w:pPr>
              <w:pStyle w:val="Compact"/>
            </w:pPr>
            <w:r>
              <w:t xml:space="preserve">RMW</w:t>
            </w:r>
          </w:p>
        </w:tc>
        <w:tc>
          <w:tcPr/>
          <w:p>
            <w:pPr>
              <w:pStyle w:val="Compact"/>
            </w:pPr>
            <w:r>
              <w:t xml:space="preserve">CMA</w:t>
            </w:r>
          </w:p>
        </w:tc>
      </w:tr>
      <w:tr>
        <w:tc>
          <w:tcPr/>
          <w:p>
            <w:pPr>
              <w:pStyle w:val="Compact"/>
            </w:pPr>
            <w:r>
              <w:t xml:space="preserve">1</w:t>
            </w:r>
          </w:p>
        </w:tc>
        <w:tc>
          <w:tcPr/>
          <w:p>
            <w:pPr>
              <w:pStyle w:val="Compact"/>
            </w:pPr>
            <w:r>
              <w:t xml:space="preserve">0.786 (2.34)</w:t>
            </w:r>
          </w:p>
        </w:tc>
        <w:tc>
          <w:tcPr/>
          <w:p>
            <w:pPr>
              <w:pStyle w:val="Compact"/>
            </w:pPr>
            <w:r>
              <w:t xml:space="preserve">0.169 (0.43)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0.669 (1.80)</w:t>
            </w:r>
          </w:p>
        </w:tc>
        <w:tc>
          <w:tcPr/>
          <w:p>
            <w:pPr>
              <w:pStyle w:val="Compact"/>
            </w:pPr>
            <w:r>
              <w:t xml:space="preserve">0.271 (0.67)</w:t>
            </w:r>
          </w:p>
        </w:tc>
        <w:tc>
          <w:tcPr/>
          <w:p>
            <w:pPr>
              <w:pStyle w:val="Compact"/>
            </w:pPr>
            <w:r>
              <w:t xml:space="preserve">0.013 (0.07)</w:t>
            </w:r>
          </w:p>
        </w:tc>
        <w:tc>
          <w:tcPr/>
          <w:p>
            <w:pPr>
              <w:pStyle w:val="Compact"/>
            </w:pPr>
            <w:r>
              <w:t xml:space="preserve">0.121 (0.48)</w:t>
            </w:r>
          </w:p>
        </w:tc>
        <w:tc>
          <w:tcPr/>
          <w:p>
            <w:pPr>
              <w:pStyle w:val="Compact"/>
            </w:pPr>
            <w:r>
              <w:t xml:space="preserve">—</w:t>
            </w:r>
          </w:p>
        </w:tc>
        <w:tc>
          <w:tcPr/>
          <w:p>
            <w:pPr>
              <w:pStyle w:val="Compact"/>
            </w:pPr>
            <w:r>
              <w:t xml:space="preserve">—</w:t>
            </w:r>
          </w:p>
        </w:tc>
      </w:tr>
      <w:tr>
        <w:tc>
          <w:tcPr/>
          <w:p>
            <w:pPr>
              <w:pStyle w:val="Compact"/>
            </w:pPr>
            <w:r>
              <w:t xml:space="preserve">3</w:t>
            </w:r>
          </w:p>
        </w:tc>
        <w:tc>
          <w:tcPr/>
          <w:p>
            <w:pPr>
              <w:pStyle w:val="Compact"/>
            </w:pPr>
            <w:r>
              <w:t xml:space="preserve">0.820 (2.07)</w:t>
            </w:r>
          </w:p>
        </w:tc>
        <w:tc>
          <w:tcPr/>
          <w:p>
            <w:pPr>
              <w:pStyle w:val="Compact"/>
            </w:pPr>
            <w:r>
              <w:t xml:space="preserve">0.162 (0.39)</w:t>
            </w:r>
          </w:p>
        </w:tc>
        <w:tc>
          <w:tcPr/>
          <w:p>
            <w:pPr>
              <w:pStyle w:val="Compact"/>
            </w:pPr>
            <w:r>
              <w:t xml:space="preserve">-0.007 (-0.03)</w:t>
            </w:r>
          </w:p>
        </w:tc>
        <w:tc>
          <w:tcPr/>
          <w:p>
            <w:pPr>
              <w:pStyle w:val="Compact"/>
            </w:pPr>
            <w:r>
              <w:t xml:space="preserve">—</w:t>
            </w:r>
          </w:p>
        </w:tc>
        <w:tc>
          <w:tcPr/>
          <w:p>
            <w:pPr>
              <w:pStyle w:val="Compact"/>
            </w:pPr>
            <w:r>
              <w:t xml:space="preserve">0.106 (0.63)</w:t>
            </w:r>
          </w:p>
        </w:tc>
        <w:tc>
          <w:tcPr/>
          <w:p>
            <w:pPr>
              <w:pStyle w:val="Compact"/>
            </w:pPr>
            <w:r>
              <w:t xml:space="preserve">—</w:t>
            </w:r>
          </w:p>
        </w:tc>
      </w:tr>
      <w:tr>
        <w:tc>
          <w:tcPr/>
          <w:p>
            <w:pPr>
              <w:pStyle w:val="Compact"/>
            </w:pPr>
            <w:r>
              <w:t xml:space="preserve">4</w:t>
            </w:r>
          </w:p>
        </w:tc>
        <w:tc>
          <w:tcPr/>
          <w:p>
            <w:pPr>
              <w:pStyle w:val="Compact"/>
            </w:pPr>
            <w:r>
              <w:t xml:space="preserve">0.940 (2.49)</w:t>
            </w:r>
          </w:p>
        </w:tc>
        <w:tc>
          <w:tcPr/>
          <w:p>
            <w:pPr>
              <w:pStyle w:val="Compact"/>
            </w:pPr>
            <w:r>
              <w:t xml:space="preserve">0.095 (0.24)</w:t>
            </w:r>
          </w:p>
        </w:tc>
        <w:tc>
          <w:tcPr/>
          <w:p>
            <w:pPr>
              <w:pStyle w:val="Compact"/>
            </w:pPr>
            <w:r>
              <w:t xml:space="preserve">0.027 (0.14)</w:t>
            </w:r>
          </w:p>
        </w:tc>
        <w:tc>
          <w:tcPr/>
          <w:p>
            <w:pPr>
              <w:pStyle w:val="Compact"/>
            </w:pPr>
            <w:r>
              <w:t xml:space="preserve">—</w:t>
            </w:r>
          </w:p>
        </w:tc>
        <w:tc>
          <w:tcPr/>
          <w:p>
            <w:pPr>
              <w:pStyle w:val="Compact"/>
            </w:pPr>
            <w:r>
              <w:t xml:space="preserve">—</w:t>
            </w:r>
          </w:p>
        </w:tc>
        <w:tc>
          <w:tcPr/>
          <w:p>
            <w:pPr>
              <w:pStyle w:val="Compact"/>
            </w:pPr>
            <w:r>
              <w:t xml:space="preserve">-0.037 (-0.25)</w:t>
            </w:r>
          </w:p>
        </w:tc>
      </w:tr>
      <w:tr>
        <w:tc>
          <w:tcPr/>
          <w:p>
            <w:pPr>
              <w:pStyle w:val="Compact"/>
            </w:pPr>
            <w:r>
              <w:t xml:space="preserve">5</w:t>
            </w:r>
          </w:p>
        </w:tc>
        <w:tc>
          <w:tcPr/>
          <w:p>
            <w:pPr>
              <w:pStyle w:val="Compact"/>
            </w:pPr>
            <w:r>
              <w:t xml:space="preserve">0.733 (1.88)</w:t>
            </w:r>
          </w:p>
        </w:tc>
        <w:tc>
          <w:tcPr/>
          <w:p>
            <w:pPr>
              <w:pStyle w:val="Compact"/>
            </w:pPr>
            <w:r>
              <w:t xml:space="preserve">0.211 (0.51)</w:t>
            </w:r>
          </w:p>
        </w:tc>
        <w:tc>
          <w:tcPr/>
          <w:p>
            <w:pPr>
              <w:pStyle w:val="Compact"/>
            </w:pPr>
            <w:r>
              <w:t xml:space="preserve">-0.035 (-0.17)</w:t>
            </w:r>
          </w:p>
        </w:tc>
        <w:tc>
          <w:tcPr/>
          <w:p>
            <w:pPr>
              <w:pStyle w:val="Compact"/>
            </w:pPr>
            <w:r>
              <w:t xml:space="preserve">0.254 (1.27)</w:t>
            </w:r>
          </w:p>
        </w:tc>
        <w:tc>
          <w:tcPr/>
          <w:p>
            <w:pPr>
              <w:pStyle w:val="Compact"/>
            </w:pPr>
            <w:r>
              <w:t xml:space="preserve">0.138 (0.85)</w:t>
            </w:r>
          </w:p>
        </w:tc>
        <w:tc>
          <w:tcPr/>
          <w:p>
            <w:pPr>
              <w:pStyle w:val="Compact"/>
            </w:pPr>
            <w:r>
              <w:t xml:space="preserve">—</w:t>
            </w:r>
          </w:p>
        </w:tc>
      </w:tr>
      <w:tr>
        <w:tc>
          <w:tcPr/>
          <w:p>
            <w:pPr>
              <w:pStyle w:val="Compact"/>
            </w:pPr>
            <w:r>
              <w:t xml:space="preserve">6</w:t>
            </w:r>
          </w:p>
        </w:tc>
        <w:tc>
          <w:tcPr/>
          <w:p>
            <w:pPr>
              <w:pStyle w:val="Compact"/>
            </w:pPr>
            <w:r>
              <w:t xml:space="preserve">0.808 (2.25)</w:t>
            </w:r>
          </w:p>
        </w:tc>
        <w:tc>
          <w:tcPr/>
          <w:p>
            <w:pPr>
              <w:pStyle w:val="Compact"/>
            </w:pPr>
            <w:r>
              <w:t xml:space="preserve">0.184 (0.48)</w:t>
            </w:r>
          </w:p>
        </w:tc>
        <w:tc>
          <w:tcPr/>
          <w:p>
            <w:pPr>
              <w:pStyle w:val="Compact"/>
            </w:pPr>
            <w:r>
              <w:t xml:space="preserve">0.047 (0.25)</w:t>
            </w:r>
          </w:p>
        </w:tc>
        <w:tc>
          <w:tcPr/>
          <w:p>
            <w:pPr>
              <w:pStyle w:val="Compact"/>
            </w:pPr>
            <w:r>
              <w:t xml:space="preserve">0.263 (1.07)</w:t>
            </w:r>
          </w:p>
        </w:tc>
        <w:tc>
          <w:tcPr/>
          <w:p>
            <w:pPr>
              <w:pStyle w:val="Compact"/>
            </w:pPr>
            <w:r>
              <w:t xml:space="preserve">—</w:t>
            </w:r>
          </w:p>
        </w:tc>
        <w:tc>
          <w:tcPr/>
          <w:p>
            <w:pPr>
              <w:pStyle w:val="Compact"/>
            </w:pPr>
            <w:r>
              <w:t xml:space="preserve">0.022 (0.12)</w:t>
            </w:r>
          </w:p>
        </w:tc>
      </w:tr>
      <w:tr>
        <w:tc>
          <w:tcPr/>
          <w:p>
            <w:pPr>
              <w:pStyle w:val="Compact"/>
            </w:pPr>
            <w:r>
              <w:t xml:space="preserve">7</w:t>
            </w:r>
          </w:p>
        </w:tc>
        <w:tc>
          <w:tcPr/>
          <w:p>
            <w:pPr>
              <w:pStyle w:val="Compact"/>
            </w:pPr>
            <w:r>
              <w:t xml:space="preserve">0.913 (2.30)</w:t>
            </w:r>
          </w:p>
        </w:tc>
        <w:tc>
          <w:tcPr/>
          <w:p>
            <w:pPr>
              <w:pStyle w:val="Compact"/>
            </w:pPr>
            <w:r>
              <w:t xml:space="preserve">0.116 (0.28)</w:t>
            </w:r>
          </w:p>
        </w:tc>
        <w:tc>
          <w:tcPr/>
          <w:p>
            <w:pPr>
              <w:pStyle w:val="Compact"/>
            </w:pPr>
            <w:r>
              <w:t xml:space="preserve">-0.007 (-0.03)</w:t>
            </w:r>
          </w:p>
        </w:tc>
        <w:tc>
          <w:tcPr/>
          <w:p>
            <w:pPr>
              <w:pStyle w:val="Compact"/>
            </w:pPr>
            <w:r>
              <w:t xml:space="preserve">—</w:t>
            </w:r>
          </w:p>
        </w:tc>
        <w:tc>
          <w:tcPr/>
          <w:p>
            <w:pPr>
              <w:pStyle w:val="Compact"/>
            </w:pPr>
            <w:r>
              <w:t xml:space="preserve">0.094 (0.56)</w:t>
            </w:r>
          </w:p>
        </w:tc>
        <w:tc>
          <w:tcPr/>
          <w:p>
            <w:pPr>
              <w:pStyle w:val="Compact"/>
            </w:pPr>
            <w:r>
              <w:t xml:space="preserve">-0.037 (-0.26)</w:t>
            </w:r>
          </w:p>
        </w:tc>
      </w:tr>
      <w:tr>
        <w:tc>
          <w:tcPr/>
          <w:p>
            <w:pPr>
              <w:pStyle w:val="Compact"/>
            </w:pPr>
            <w:r>
              <w:t xml:space="preserve">8</w:t>
            </w:r>
          </w:p>
        </w:tc>
        <w:tc>
          <w:tcPr/>
          <w:p>
            <w:pPr>
              <w:pStyle w:val="Compact"/>
            </w:pPr>
            <w:r>
              <w:t xml:space="preserve">0.735 (1.98)</w:t>
            </w:r>
          </w:p>
        </w:tc>
        <w:tc>
          <w:tcPr/>
          <w:p>
            <w:pPr>
              <w:pStyle w:val="Compact"/>
            </w:pPr>
            <w:r>
              <w:t xml:space="preserve">0.254 (0.64)</w:t>
            </w:r>
          </w:p>
        </w:tc>
        <w:tc>
          <w:tcPr/>
          <w:p>
            <w:pPr>
              <w:pStyle w:val="Compact"/>
            </w:pPr>
            <w:r>
              <w:t xml:space="preserve">-0.006 (-0.03)</w:t>
            </w:r>
          </w:p>
        </w:tc>
        <w:tc>
          <w:tcPr/>
          <w:p>
            <w:pPr>
              <w:pStyle w:val="Compact"/>
            </w:pPr>
            <w:r>
              <w:t xml:space="preserve">0.238 (0.96)</w:t>
            </w:r>
          </w:p>
        </w:tc>
        <w:tc>
          <w:tcPr/>
          <w:p>
            <w:pPr>
              <w:pStyle w:val="Compact"/>
            </w:pPr>
            <w:r>
              <w:t xml:space="preserve">0.135 (0.84)</w:t>
            </w:r>
          </w:p>
        </w:tc>
        <w:tc>
          <w:tcPr/>
          <w:p>
            <w:pPr>
              <w:pStyle w:val="Compact"/>
            </w:pPr>
            <w:r>
              <w:t xml:space="preserve">0.005 (0.03)</w:t>
            </w:r>
          </w:p>
        </w:tc>
      </w:tr>
    </w:tbl>
    <w:p>
      <w:pPr>
        <w:pStyle w:val="BodyText"/>
      </w:pPr>
      <w:r>
        <w:t xml:space="preserve">Earlier combined-univariate results attach the most stable positive price to RMW: it is 0.218% (t = 2.18) in specification 5, 0.161% (t = 2.11) in specification 7, and 0.181% (t = 2.01) in specification 8. HML is positive but less precise in the full specification (0.167%, t = 1.41). For industries, HML is more prominent: 0.247% (t = 2.08) in FF3/specification 2 and 0.238% (t = 1.98) in specification 8. The full-specification MKT and SMB prices are near zero for industries.</w:t>
      </w:r>
    </w:p>
    <w:p>
      <w:pPr>
        <w:pStyle w:val="BodyText"/>
      </w:pPr>
      <w:r>
        <w:t xml:space="preserve">Post-GFC factor-price precision deteriorates in both universes. In combined univariate portfolios, specification-8 MKT is 0.426% (t = 1.28), while SMB, HML, and CMA are negative but insignificant. In industries, HML remains positive at 0.238% but has t = 0.96; the other four prices are also imprecise. Intercepts, however, are often positive and statistically detectable, which cautions against interpreting weak factor prices as successful conditional pricing.</w:t>
      </w:r>
    </w:p>
    <w:bookmarkEnd w:id="24"/>
    <w:bookmarkStart w:id="25" w:name="X2a065cb55910a7e33348855063371a4a9a873e0"/>
    <w:p>
      <w:pPr>
        <w:pStyle w:val="Heading3"/>
      </w:pPr>
      <w:r>
        <w:t xml:space="preserve">4.2 Historical premia and economic signs</w:t>
      </w:r>
    </w:p>
    <w:p>
      <w:pPr>
        <w:pStyle w:val="FirstParagraph"/>
      </w:pPr>
      <w:r>
        <w:rPr>
          <w:b/>
          <w:bCs/>
        </w:rPr>
        <w:t xml:space="preserve">Table 5. Historical factor means over the headline samples.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Sample</w:t>
            </w:r>
          </w:p>
        </w:tc>
        <w:tc>
          <w:tcPr/>
          <w:p>
            <w:pPr>
              <w:pStyle w:val="Compact"/>
            </w:pPr>
            <w:r>
              <w:t xml:space="preserve">Mean return</w:t>
            </w:r>
          </w:p>
        </w:tc>
        <w:tc>
          <w:tcPr/>
          <w:p>
            <w:pPr>
              <w:pStyle w:val="Compact"/>
            </w:pPr>
            <w:r>
              <w:t xml:space="preserve">t-stat</w:t>
            </w:r>
          </w:p>
        </w:tc>
      </w:tr>
      <w:tr>
        <w:tc>
          <w:tcPr/>
          <w:p>
            <w:pPr>
              <w:pStyle w:val="Compact"/>
            </w:pPr>
            <w:r>
              <w:t xml:space="preserve">MKT</w:t>
            </w:r>
          </w:p>
        </w:tc>
        <w:tc>
          <w:tcPr/>
          <w:p>
            <w:pPr>
              <w:pStyle w:val="Compact"/>
            </w:pPr>
            <w:r>
              <w:t xml:space="preserve">Earlier</w:t>
            </w:r>
          </w:p>
        </w:tc>
        <w:tc>
          <w:tcPr/>
          <w:p>
            <w:pPr>
              <w:pStyle w:val="Compact"/>
            </w:pPr>
            <w:r>
              <w:t xml:space="preserve">0.448%</w:t>
            </w:r>
          </w:p>
        </w:tc>
        <w:tc>
          <w:tcPr/>
          <w:p>
            <w:pPr>
              <w:pStyle w:val="Compact"/>
            </w:pPr>
            <w:r>
              <w:t xml:space="preserve">2.36</w:t>
            </w:r>
          </w:p>
        </w:tc>
      </w:tr>
      <w:tr>
        <w:tc>
          <w:tcPr/>
          <w:p>
            <w:pPr>
              <w:pStyle w:val="Compact"/>
            </w:pPr>
            <w:r>
              <w:t xml:space="preserve">SMB</w:t>
            </w:r>
          </w:p>
        </w:tc>
        <w:tc>
          <w:tcPr/>
          <w:p>
            <w:pPr>
              <w:pStyle w:val="Compact"/>
            </w:pPr>
            <w:r>
              <w:t xml:space="preserve">Earlier</w:t>
            </w:r>
          </w:p>
        </w:tc>
        <w:tc>
          <w:tcPr/>
          <w:p>
            <w:pPr>
              <w:pStyle w:val="Compact"/>
            </w:pPr>
            <w:r>
              <w:t xml:space="preserve">0.294%</w:t>
            </w:r>
          </w:p>
        </w:tc>
        <w:tc>
          <w:tcPr/>
          <w:p>
            <w:pPr>
              <w:pStyle w:val="Compact"/>
            </w:pPr>
            <w:r>
              <w:t xml:space="preserve">2.26</w:t>
            </w:r>
          </w:p>
        </w:tc>
      </w:tr>
      <w:tr>
        <w:tc>
          <w:tcPr/>
          <w:p>
            <w:pPr>
              <w:pStyle w:val="Compact"/>
            </w:pPr>
            <w:r>
              <w:t xml:space="preserve">HML</w:t>
            </w:r>
          </w:p>
        </w:tc>
        <w:tc>
          <w:tcPr/>
          <w:p>
            <w:pPr>
              <w:pStyle w:val="Compact"/>
            </w:pPr>
            <w:r>
              <w:t xml:space="preserve">Earlier</w:t>
            </w:r>
          </w:p>
        </w:tc>
        <w:tc>
          <w:tcPr/>
          <w:p>
            <w:pPr>
              <w:pStyle w:val="Compact"/>
            </w:pPr>
            <w:r>
              <w:t xml:space="preserve">0.402%</w:t>
            </w:r>
          </w:p>
        </w:tc>
        <w:tc>
          <w:tcPr/>
          <w:p>
            <w:pPr>
              <w:pStyle w:val="Compact"/>
            </w:pPr>
            <w:r>
              <w:t xml:space="preserve">3.36</w:t>
            </w:r>
          </w:p>
        </w:tc>
      </w:tr>
      <w:tr>
        <w:tc>
          <w:tcPr/>
          <w:p>
            <w:pPr>
              <w:pStyle w:val="Compact"/>
            </w:pPr>
            <w:r>
              <w:t xml:space="preserve">RMW</w:t>
            </w:r>
          </w:p>
        </w:tc>
        <w:tc>
          <w:tcPr/>
          <w:p>
            <w:pPr>
              <w:pStyle w:val="Compact"/>
            </w:pPr>
            <w:r>
              <w:t xml:space="preserve">Earlier</w:t>
            </w:r>
          </w:p>
        </w:tc>
        <w:tc>
          <w:tcPr/>
          <w:p>
            <w:pPr>
              <w:pStyle w:val="Compact"/>
            </w:pPr>
            <w:r>
              <w:t xml:space="preserve">0.276%</w:t>
            </w:r>
          </w:p>
        </w:tc>
        <w:tc>
          <w:tcPr/>
          <w:p>
            <w:pPr>
              <w:pStyle w:val="Compact"/>
            </w:pPr>
            <w:r>
              <w:t xml:space="preserve">2.88</w:t>
            </w:r>
          </w:p>
        </w:tc>
      </w:tr>
      <w:tr>
        <w:tc>
          <w:tcPr/>
          <w:p>
            <w:pPr>
              <w:pStyle w:val="Compact"/>
            </w:pPr>
            <w:r>
              <w:t xml:space="preserve">CMA</w:t>
            </w:r>
          </w:p>
        </w:tc>
        <w:tc>
          <w:tcPr/>
          <w:p>
            <w:pPr>
              <w:pStyle w:val="Compact"/>
            </w:pPr>
            <w:r>
              <w:t xml:space="preserve">Earlier</w:t>
            </w:r>
          </w:p>
        </w:tc>
        <w:tc>
          <w:tcPr/>
          <w:p>
            <w:pPr>
              <w:pStyle w:val="Compact"/>
            </w:pPr>
            <w:r>
              <w:t xml:space="preserve">0.331%</w:t>
            </w:r>
          </w:p>
        </w:tc>
        <w:tc>
          <w:tcPr/>
          <w:p>
            <w:pPr>
              <w:pStyle w:val="Compact"/>
            </w:pPr>
            <w:r>
              <w:t xml:space="preserve">3.88</w:t>
            </w:r>
          </w:p>
        </w:tc>
      </w:tr>
      <w:tr>
        <w:tc>
          <w:tcPr/>
          <w:p>
            <w:pPr>
              <w:pStyle w:val="Compact"/>
            </w:pPr>
            <w:r>
              <w:t xml:space="preserve">MKT</w:t>
            </w:r>
          </w:p>
        </w:tc>
        <w:tc>
          <w:tcPr/>
          <w:p>
            <w:pPr>
              <w:pStyle w:val="Compact"/>
            </w:pPr>
            <w:r>
              <w:t xml:space="preserve">Post-GFC</w:t>
            </w:r>
          </w:p>
        </w:tc>
        <w:tc>
          <w:tcPr/>
          <w:p>
            <w:pPr>
              <w:pStyle w:val="Compact"/>
            </w:pPr>
            <w:r>
              <w:t xml:space="preserve">1.069%</w:t>
            </w:r>
          </w:p>
        </w:tc>
        <w:tc>
          <w:tcPr/>
          <w:p>
            <w:pPr>
              <w:pStyle w:val="Compact"/>
            </w:pPr>
            <w:r>
              <w:t xml:space="preserve">3.48</w:t>
            </w:r>
          </w:p>
        </w:tc>
      </w:tr>
      <w:tr>
        <w:tc>
          <w:tcPr/>
          <w:p>
            <w:pPr>
              <w:pStyle w:val="Compact"/>
            </w:pPr>
            <w:r>
              <w:t xml:space="preserve">SMB</w:t>
            </w:r>
          </w:p>
        </w:tc>
        <w:tc>
          <w:tcPr/>
          <w:p>
            <w:pPr>
              <w:pStyle w:val="Compact"/>
            </w:pPr>
            <w:r>
              <w:t xml:space="preserve">Post-GFC</w:t>
            </w:r>
          </w:p>
        </w:tc>
        <w:tc>
          <w:tcPr/>
          <w:p>
            <w:pPr>
              <w:pStyle w:val="Compact"/>
            </w:pPr>
            <w:r>
              <w:t xml:space="preserve">-0.140%</w:t>
            </w:r>
          </w:p>
        </w:tc>
        <w:tc>
          <w:tcPr/>
          <w:p>
            <w:pPr>
              <w:pStyle w:val="Compact"/>
            </w:pPr>
            <w:r>
              <w:t xml:space="preserve">-0.71</w:t>
            </w:r>
          </w:p>
        </w:tc>
      </w:tr>
      <w:tr>
        <w:tc>
          <w:tcPr/>
          <w:p>
            <w:pPr>
              <w:pStyle w:val="Compact"/>
            </w:pPr>
            <w:r>
              <w:t xml:space="preserve">HML</w:t>
            </w:r>
          </w:p>
        </w:tc>
        <w:tc>
          <w:tcPr/>
          <w:p>
            <w:pPr>
              <w:pStyle w:val="Compact"/>
            </w:pPr>
            <w:r>
              <w:t xml:space="preserve">Post-GFC</w:t>
            </w:r>
          </w:p>
        </w:tc>
        <w:tc>
          <w:tcPr/>
          <w:p>
            <w:pPr>
              <w:pStyle w:val="Compact"/>
            </w:pPr>
            <w:r>
              <w:t xml:space="preserve">-0.032%</w:t>
            </w:r>
          </w:p>
        </w:tc>
        <w:tc>
          <w:tcPr/>
          <w:p>
            <w:pPr>
              <w:pStyle w:val="Compact"/>
            </w:pPr>
            <w:r>
              <w:t xml:space="preserve">-0.13</w:t>
            </w:r>
          </w:p>
        </w:tc>
      </w:tr>
      <w:tr>
        <w:tc>
          <w:tcPr/>
          <w:p>
            <w:pPr>
              <w:pStyle w:val="Compact"/>
            </w:pPr>
            <w:r>
              <w:t xml:space="preserve">RMW</w:t>
            </w:r>
          </w:p>
        </w:tc>
        <w:tc>
          <w:tcPr/>
          <w:p>
            <w:pPr>
              <w:pStyle w:val="Compact"/>
            </w:pPr>
            <w:r>
              <w:t xml:space="preserve">Post-GFC</w:t>
            </w:r>
          </w:p>
        </w:tc>
        <w:tc>
          <w:tcPr/>
          <w:p>
            <w:pPr>
              <w:pStyle w:val="Compact"/>
            </w:pPr>
            <w:r>
              <w:t xml:space="preserve">0.177%</w:t>
            </w:r>
          </w:p>
        </w:tc>
        <w:tc>
          <w:tcPr/>
          <w:p>
            <w:pPr>
              <w:pStyle w:val="Compact"/>
            </w:pPr>
            <w:r>
              <w:t xml:space="preserve">1.06</w:t>
            </w:r>
          </w:p>
        </w:tc>
      </w:tr>
      <w:tr>
        <w:tc>
          <w:tcPr/>
          <w:p>
            <w:pPr>
              <w:pStyle w:val="Compact"/>
            </w:pPr>
            <w:r>
              <w:t xml:space="preserve">CMA</w:t>
            </w:r>
          </w:p>
        </w:tc>
        <w:tc>
          <w:tcPr/>
          <w:p>
            <w:pPr>
              <w:pStyle w:val="Compact"/>
            </w:pPr>
            <w:r>
              <w:t xml:space="preserve">Post-GFC</w:t>
            </w:r>
          </w:p>
        </w:tc>
        <w:tc>
          <w:tcPr/>
          <w:p>
            <w:pPr>
              <w:pStyle w:val="Compact"/>
            </w:pPr>
            <w:r>
              <w:t xml:space="preserve">-0.023%</w:t>
            </w:r>
          </w:p>
        </w:tc>
        <w:tc>
          <w:tcPr/>
          <w:p>
            <w:pPr>
              <w:pStyle w:val="Compact"/>
            </w:pPr>
            <w:r>
              <w:t xml:space="preserve">-0.15</w:t>
            </w:r>
          </w:p>
        </w:tc>
      </w:tr>
    </w:tbl>
    <w:p>
      <w:pPr>
        <w:pStyle w:val="BodyText"/>
      </w:pPr>
      <w:r>
        <w:t xml:space="preserve">In the earlier period all five historical factor means are positive. Specification-8 FM signs broadly agree for SMB, HML, RMW, and CMA in the combined-univariate cross section, but MKT is slightly negative; industries produce positive HML/RMW/CMA but near-zero MKT and negative SMB. Post-GFC historical SMB, HML, and CMA means are negative. The combined-univariate FM prices share those signs, whereas industry HML is positive and industry SMB/CMA are approximately zero. These discrepancies are economically plausible because FM lambdas price cross-sectional beta variation and need not reproduce the factor portfolios' time-series means.</w:t>
      </w:r>
    </w:p>
    <w:bookmarkEnd w:id="25"/>
    <w:bookmarkStart w:id="30" w:name="Xfc7fe66b8724a4fcbac16449253c0a069044326"/>
    <w:p>
      <w:pPr>
        <w:pStyle w:val="Heading3"/>
      </w:pPr>
      <w:r>
        <w:t xml:space="preserve">4.3 Monthly lambda variation</w:t>
      </w:r>
    </w:p>
    <w:p>
      <w:pPr>
        <w:pStyle w:val="FirstParagraph"/>
      </w:pPr>
      <w:r>
        <w:drawing>
          <wp:inline>
            <wp:extent cx="5334000" cy="3396502"/>
            <wp:effectExtent b="0" l="0" r="0" t="0"/>
            <wp:docPr descr="Four-panel raw monthly specification-8 lambda series" title="" id="27" name="Picture"/>
            <a:graphic>
              <a:graphicData uri="http://schemas.openxmlformats.org/drawingml/2006/picture">
                <pic:pic>
                  <pic:nvPicPr>
                    <pic:cNvPr descr="../figures/fm_spec8_lambdas_four_panel.png" id="28" name="Picture"/>
                    <pic:cNvPicPr>
                      <a:picLocks noChangeArrowheads="1" noChangeAspect="1"/>
                    </pic:cNvPicPr>
                  </pic:nvPicPr>
                  <pic:blipFill>
                    <a:blip r:embed="rId26"/>
                    <a:stretch>
                      <a:fillRect/>
                    </a:stretch>
                  </pic:blipFill>
                  <pic:spPr bwMode="auto">
                    <a:xfrm>
                      <a:off x="0" y="0"/>
                      <a:ext cx="5334000" cy="339650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Raw monthly specification-8 factor prices for both universes and samples. No smoothing is applied. Source:</w:t>
      </w:r>
      <w:r>
        <w:t xml:space="preserve"> </w:t>
      </w:r>
      <w:hyperlink r:id="rId29">
        <w:r>
          <w:rPr>
            <w:rStyle w:val="Hyperlink"/>
          </w:rPr>
          <w:t xml:space="preserve">monthly lambdas</w:t>
        </w:r>
      </w:hyperlink>
      <w:r>
        <w:t xml:space="preserve">.</w:t>
      </w:r>
    </w:p>
    <w:p>
      <w:pPr>
        <w:pStyle w:val="BodyText"/>
      </w:pPr>
      <w:r>
        <w:t xml:space="preserve">MKT is the most volatile factor price in every panel: its standard deviation is 4.71% earlier and 4.57% post-GFC for combined univariate portfolios, and 4.84% and 5.44% for industries. Its sign is positive in only 47.2%, 53.7%, 48.5%, and 48.4% of months, respectively. The largest positive MKT estimates are 22.06% (April 2009) and 21.48% (April 2020) for combined portfolios, and 33.15% (April 2009) and 17.55% (August 2020) for industries.</w:t>
      </w:r>
    </w:p>
    <w:p>
      <w:pPr>
        <w:pStyle w:val="BodyText"/>
      </w:pPr>
      <w:r>
        <w:t xml:space="preserve">HML also changes sign frequently. For combined portfolios its positive share drops from 50.9% earlier to 43.1% post-GFC; the post-GFC range is −17.48% in March 2020 to +10.54% in January 2022. Industry HML remains positive in about half the months. RMW and CMA are less volatile than MKT, but their standard deviations still exceed 1.95% per month in every panel—far larger than their average prices.</w:t>
      </w:r>
    </w:p>
    <w:bookmarkEnd w:id="30"/>
    <w:bookmarkEnd w:id="31"/>
    <w:bookmarkStart w:id="38" w:name="Xe8423d2eb4ee6708c4327a2ec996880bf67707e"/>
    <w:p>
      <w:pPr>
        <w:pStyle w:val="Heading2"/>
      </w:pPr>
      <w:r>
        <w:t xml:space="preserve">5. Time-Series Alpha and GRS Evidence</w:t>
      </w:r>
    </w:p>
    <w:p>
      <w:pPr>
        <w:pStyle w:val="FirstParagraph"/>
      </w:pPr>
      <w:r>
        <w:t xml:space="preserve">The audited GRS family is</w:t>
      </w:r>
      <w:r>
        <w:t xml:space="preserve"> </w:t>
      </w:r>
      <w:r>
        <w:rPr>
          <w:b/>
          <w:bCs/>
        </w:rPr>
        <w:t xml:space="preserve">Size × Momentum</w:t>
      </w:r>
      <w:r>
        <w:t xml:space="preserve">. Rows are Size buckets and columns run from Low to High Momentum.</w:t>
      </w:r>
    </w:p>
    <w:p>
      <w:pPr>
        <w:pStyle w:val="BodyText"/>
      </w:pPr>
      <w:r>
        <w:drawing>
          <wp:inline>
            <wp:extent cx="5334000" cy="4301612"/>
            <wp:effectExtent b="0" l="0" r="0" t="0"/>
            <wp:docPr descr="CAPM alpha t-stat grid, earlier sample" title="" id="33" name="Picture"/>
            <a:graphic>
              <a:graphicData uri="http://schemas.openxmlformats.org/drawingml/2006/picture">
                <pic:pic>
                  <pic:nvPicPr>
                    <pic:cNvPr descr="../results/figures/time_series/size_momentum__earlier__CAPM__alpha_t.png" id="34" name="Picture"/>
                    <pic:cNvPicPr>
                      <a:picLocks noChangeArrowheads="1" noChangeAspect="1"/>
                    </pic:cNvPicPr>
                  </pic:nvPicPr>
                  <pic:blipFill>
                    <a:blip r:embed="rId32"/>
                    <a:stretch>
                      <a:fillRect/>
                    </a:stretch>
                  </pic:blipFill>
                  <pic:spPr bwMode="auto">
                    <a:xfrm>
                      <a:off x="0" y="0"/>
                      <a:ext cx="5334000" cy="4301612"/>
                    </a:xfrm>
                    <a:prstGeom prst="rect">
                      <a:avLst/>
                    </a:prstGeom>
                    <a:noFill/>
                    <a:ln w="9525">
                      <a:noFill/>
                      <a:headEnd/>
                      <a:tailEnd/>
                    </a:ln>
                  </pic:spPr>
                </pic:pic>
              </a:graphicData>
            </a:graphic>
          </wp:inline>
        </w:drawing>
      </w:r>
    </w:p>
    <w:p>
      <w:pPr>
        <w:pStyle w:val="BodyText"/>
      </w:pPr>
      <w:r>
        <w:rPr>
          <w:b/>
          <w:bCs/>
        </w:rPr>
        <w:t xml:space="preserve">Figure 3A.</w:t>
      </w:r>
      <w:r>
        <w:t xml:space="preserve"> </w:t>
      </w:r>
      <w:r>
        <w:t xml:space="preserve">CAPM alpha t-statistics, July 1963–December 2010.</w:t>
      </w:r>
    </w:p>
    <w:p>
      <w:pPr>
        <w:pStyle w:val="BodyText"/>
      </w:pPr>
      <w:r>
        <w:drawing>
          <wp:inline>
            <wp:extent cx="5334000" cy="4301612"/>
            <wp:effectExtent b="0" l="0" r="0" t="0"/>
            <wp:docPr descr="CAPM alpha t-stat grid, post-GFC sample" title="" id="36" name="Picture"/>
            <a:graphic>
              <a:graphicData uri="http://schemas.openxmlformats.org/drawingml/2006/picture">
                <pic:pic>
                  <pic:nvPicPr>
                    <pic:cNvPr descr="../results/figures/time_series/size_momentum__post_gfc__CAPM__alpha_t.png" id="37" name="Picture"/>
                    <pic:cNvPicPr>
                      <a:picLocks noChangeArrowheads="1" noChangeAspect="1"/>
                    </pic:cNvPicPr>
                  </pic:nvPicPr>
                  <pic:blipFill>
                    <a:blip r:embed="rId35"/>
                    <a:stretch>
                      <a:fillRect/>
                    </a:stretch>
                  </pic:blipFill>
                  <pic:spPr bwMode="auto">
                    <a:xfrm>
                      <a:off x="0" y="0"/>
                      <a:ext cx="5334000" cy="4301612"/>
                    </a:xfrm>
                    <a:prstGeom prst="rect">
                      <a:avLst/>
                    </a:prstGeom>
                    <a:noFill/>
                    <a:ln w="9525">
                      <a:noFill/>
                      <a:headEnd/>
                      <a:tailEnd/>
                    </a:ln>
                  </pic:spPr>
                </pic:pic>
              </a:graphicData>
            </a:graphic>
          </wp:inline>
        </w:drawing>
      </w:r>
    </w:p>
    <w:p>
      <w:pPr>
        <w:pStyle w:val="BodyText"/>
      </w:pPr>
      <w:r>
        <w:rPr>
          <w:b/>
          <w:bCs/>
        </w:rPr>
        <w:t xml:space="preserve">Figure 3B.</w:t>
      </w:r>
      <w:r>
        <w:t xml:space="preserve"> </w:t>
      </w:r>
      <w:r>
        <w:t xml:space="preserve">CAPM alpha t-statistics, January 2011–August 2026.</w:t>
      </w:r>
    </w:p>
    <w:p>
      <w:pPr>
        <w:pStyle w:val="BodyText"/>
      </w:pPr>
      <w:r>
        <w:t xml:space="preserve">Earlier CAPM alphas display a strong monotonic momentum pattern within the smaller size rows: Low Momentum t-statistics are negative, while columns 4 and 5 are broadly positive. Small/High Momentum has alpha 0.822% per month (t = 4.73); the most negative CAPM t-stat is Size-2/Low Momentum, −0.563% (t = −2.90). Seventeen of 25 CAPM alphas have individual p-values below 5%.</w:t>
      </w:r>
    </w:p>
    <w:p>
      <w:pPr>
        <w:pStyle w:val="BodyText"/>
      </w:pPr>
      <w:r>
        <w:t xml:space="preserve">After 2010 the grid is less monotonic and generally less individually significant. The strongest negative is Size-3/Low Momentum at −1.076% (t = −3.41); the strongest positive t-stat belongs to Big/portfolio-3 at 0.225% (t = 2.18). Five CAPM alphas are individually significant.</w:t>
      </w:r>
    </w:p>
    <w:p>
      <w:pPr>
        <w:pStyle w:val="BodyText"/>
      </w:pPr>
      <w:r>
        <w:t xml:space="preserve">Adding factors reduces mean absolute alpha from 0.346% under CAPM to 0.331% under FF3 and 0.294% under FF5 earlier, but it does not remove the small-stock momentum spread: under FF5, Small/High Momentum is +0.645% (t = 6.38) and Small/Low Momentum is −0.751% (t = −4.55). Post-GFC, mean absolute alpha falls from 0.314% to 0.224% under FF3 and 0.231% under FF5, while Size-3/Low Momentum remains near −0.74% with t around −3.0.</w:t>
      </w:r>
    </w:p>
    <w:p>
      <w:pPr>
        <w:pStyle w:val="BodyText"/>
      </w:pPr>
      <w:r>
        <w:rPr>
          <w:b/>
          <w:bCs/>
        </w:rPr>
        <w:t xml:space="preserve">Table 6. Portfolio-alpha summary.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Sample</w:t>
            </w:r>
          </w:p>
        </w:tc>
        <w:tc>
          <w:tcPr/>
          <w:p>
            <w:pPr>
              <w:pStyle w:val="Compact"/>
            </w:pPr>
            <w:r>
              <w:t xml:space="preserve">Model</w:t>
            </w:r>
          </w:p>
        </w:tc>
        <w:tc>
          <w:tcPr/>
          <w:p>
            <w:pPr>
              <w:pStyle w:val="Compact"/>
            </w:pPr>
            <w:r>
              <w:t xml:space="preserve">Mean |alpha|</w:t>
            </w:r>
          </w:p>
        </w:tc>
        <w:tc>
          <w:tcPr/>
          <w:p>
            <w:pPr>
              <w:pStyle w:val="Compact"/>
            </w:pPr>
            <w:r>
              <w:t xml:space="preserve">Max |alpha|</w:t>
            </w:r>
          </w:p>
        </w:tc>
        <w:tc>
          <w:tcPr/>
          <w:p>
            <w:pPr>
              <w:pStyle w:val="Compact"/>
            </w:pPr>
            <w:r>
              <w:t xml:space="preserve">Mean |t|</w:t>
            </w:r>
          </w:p>
        </w:tc>
        <w:tc>
          <w:tcPr/>
          <w:p>
            <w:pPr>
              <w:pStyle w:val="Compact"/>
            </w:pPr>
            <w:r>
              <w:t xml:space="preserve">p &lt; 5%</w:t>
            </w:r>
          </w:p>
        </w:tc>
      </w:tr>
      <w:tr>
        <w:tc>
          <w:tcPr/>
          <w:p>
            <w:pPr>
              <w:pStyle w:val="Compact"/>
            </w:pPr>
            <w:r>
              <w:t xml:space="preserve">Earlier</w:t>
            </w:r>
          </w:p>
        </w:tc>
        <w:tc>
          <w:tcPr/>
          <w:p>
            <w:pPr>
              <w:pStyle w:val="Compact"/>
            </w:pPr>
            <w:r>
              <w:t xml:space="preserve">CAPM</w:t>
            </w:r>
          </w:p>
        </w:tc>
        <w:tc>
          <w:tcPr/>
          <w:p>
            <w:pPr>
              <w:pStyle w:val="Compact"/>
            </w:pPr>
            <w:r>
              <w:t xml:space="preserve">0.346%</w:t>
            </w:r>
          </w:p>
        </w:tc>
        <w:tc>
          <w:tcPr/>
          <w:p>
            <w:pPr>
              <w:pStyle w:val="Compact"/>
            </w:pPr>
            <w:r>
              <w:t xml:space="preserve">0.822%</w:t>
            </w:r>
          </w:p>
        </w:tc>
        <w:tc>
          <w:tcPr/>
          <w:p>
            <w:pPr>
              <w:pStyle w:val="Compact"/>
            </w:pPr>
            <w:r>
              <w:t xml:space="preserve">2.55</w:t>
            </w:r>
          </w:p>
        </w:tc>
        <w:tc>
          <w:tcPr/>
          <w:p>
            <w:pPr>
              <w:pStyle w:val="Compact"/>
            </w:pPr>
            <w:r>
              <w:t xml:space="preserve">17/25</w:t>
            </w:r>
          </w:p>
        </w:tc>
      </w:tr>
      <w:tr>
        <w:tc>
          <w:tcPr/>
          <w:p>
            <w:pPr>
              <w:pStyle w:val="Compact"/>
            </w:pPr>
            <w:r>
              <w:t xml:space="preserve">Earlier</w:t>
            </w:r>
          </w:p>
        </w:tc>
        <w:tc>
          <w:tcPr/>
          <w:p>
            <w:pPr>
              <w:pStyle w:val="Compact"/>
            </w:pPr>
            <w:r>
              <w:t xml:space="preserve">FF3</w:t>
            </w:r>
          </w:p>
        </w:tc>
        <w:tc>
          <w:tcPr/>
          <w:p>
            <w:pPr>
              <w:pStyle w:val="Compact"/>
            </w:pPr>
            <w:r>
              <w:t xml:space="preserve">0.331%</w:t>
            </w:r>
          </w:p>
        </w:tc>
        <w:tc>
          <w:tcPr/>
          <w:p>
            <w:pPr>
              <w:pStyle w:val="Compact"/>
            </w:pPr>
            <w:r>
              <w:t xml:space="preserve">0.998%</w:t>
            </w:r>
          </w:p>
        </w:tc>
        <w:tc>
          <w:tcPr/>
          <w:p>
            <w:pPr>
              <w:pStyle w:val="Compact"/>
            </w:pPr>
            <w:r>
              <w:t xml:space="preserve">2.99</w:t>
            </w:r>
          </w:p>
        </w:tc>
        <w:tc>
          <w:tcPr/>
          <w:p>
            <w:pPr>
              <w:pStyle w:val="Compact"/>
            </w:pPr>
            <w:r>
              <w:t xml:space="preserve">17/25</w:t>
            </w:r>
          </w:p>
        </w:tc>
      </w:tr>
      <w:tr>
        <w:tc>
          <w:tcPr/>
          <w:p>
            <w:pPr>
              <w:pStyle w:val="Compact"/>
            </w:pPr>
            <w:r>
              <w:t xml:space="preserve">Earlier</w:t>
            </w:r>
          </w:p>
        </w:tc>
        <w:tc>
          <w:tcPr/>
          <w:p>
            <w:pPr>
              <w:pStyle w:val="Compact"/>
            </w:pPr>
            <w:r>
              <w:t xml:space="preserve">FF5</w:t>
            </w:r>
          </w:p>
        </w:tc>
        <w:tc>
          <w:tcPr/>
          <w:p>
            <w:pPr>
              <w:pStyle w:val="Compact"/>
            </w:pPr>
            <w:r>
              <w:t xml:space="preserve">0.294%</w:t>
            </w:r>
          </w:p>
        </w:tc>
        <w:tc>
          <w:tcPr/>
          <w:p>
            <w:pPr>
              <w:pStyle w:val="Compact"/>
            </w:pPr>
            <w:r>
              <w:t xml:space="preserve">0.751%</w:t>
            </w:r>
          </w:p>
        </w:tc>
        <w:tc>
          <w:tcPr/>
          <w:p>
            <w:pPr>
              <w:pStyle w:val="Compact"/>
            </w:pPr>
            <w:r>
              <w:t xml:space="preserve">2.76</w:t>
            </w:r>
          </w:p>
        </w:tc>
        <w:tc>
          <w:tcPr/>
          <w:p>
            <w:pPr>
              <w:pStyle w:val="Compact"/>
            </w:pPr>
            <w:r>
              <w:t xml:space="preserve">19/25</w:t>
            </w:r>
          </w:p>
        </w:tc>
      </w:tr>
      <w:tr>
        <w:tc>
          <w:tcPr/>
          <w:p>
            <w:pPr>
              <w:pStyle w:val="Compact"/>
            </w:pPr>
            <w:r>
              <w:t xml:space="preserve">Post-GFC</w:t>
            </w:r>
          </w:p>
        </w:tc>
        <w:tc>
          <w:tcPr/>
          <w:p>
            <w:pPr>
              <w:pStyle w:val="Compact"/>
            </w:pPr>
            <w:r>
              <w:t xml:space="preserve">CAPM</w:t>
            </w:r>
          </w:p>
        </w:tc>
        <w:tc>
          <w:tcPr/>
          <w:p>
            <w:pPr>
              <w:pStyle w:val="Compact"/>
            </w:pPr>
            <w:r>
              <w:t xml:space="preserve">0.314%</w:t>
            </w:r>
          </w:p>
        </w:tc>
        <w:tc>
          <w:tcPr/>
          <w:p>
            <w:pPr>
              <w:pStyle w:val="Compact"/>
            </w:pPr>
            <w:r>
              <w:t xml:space="preserve">1.221%</w:t>
            </w:r>
          </w:p>
        </w:tc>
        <w:tc>
          <w:tcPr/>
          <w:p>
            <w:pPr>
              <w:pStyle w:val="Compact"/>
            </w:pPr>
            <w:r>
              <w:t xml:space="preserve">1.22</w:t>
            </w:r>
          </w:p>
        </w:tc>
        <w:tc>
          <w:tcPr/>
          <w:p>
            <w:pPr>
              <w:pStyle w:val="Compact"/>
            </w:pPr>
            <w:r>
              <w:t xml:space="preserve">5/25</w:t>
            </w:r>
          </w:p>
        </w:tc>
      </w:tr>
      <w:tr>
        <w:tc>
          <w:tcPr/>
          <w:p>
            <w:pPr>
              <w:pStyle w:val="Compact"/>
            </w:pPr>
            <w:r>
              <w:t xml:space="preserve">Post-GFC</w:t>
            </w:r>
          </w:p>
        </w:tc>
        <w:tc>
          <w:tcPr/>
          <w:p>
            <w:pPr>
              <w:pStyle w:val="Compact"/>
            </w:pPr>
            <w:r>
              <w:t xml:space="preserve">FF3</w:t>
            </w:r>
          </w:p>
        </w:tc>
        <w:tc>
          <w:tcPr/>
          <w:p>
            <w:pPr>
              <w:pStyle w:val="Compact"/>
            </w:pPr>
            <w:r>
              <w:t xml:space="preserve">0.224%</w:t>
            </w:r>
          </w:p>
        </w:tc>
        <w:tc>
          <w:tcPr/>
          <w:p>
            <w:pPr>
              <w:pStyle w:val="Compact"/>
            </w:pPr>
            <w:r>
              <w:t xml:space="preserve">0.739%</w:t>
            </w:r>
          </w:p>
        </w:tc>
        <w:tc>
          <w:tcPr/>
          <w:p>
            <w:pPr>
              <w:pStyle w:val="Compact"/>
            </w:pPr>
            <w:r>
              <w:t xml:space="preserve">1.35</w:t>
            </w:r>
          </w:p>
        </w:tc>
        <w:tc>
          <w:tcPr/>
          <w:p>
            <w:pPr>
              <w:pStyle w:val="Compact"/>
            </w:pPr>
            <w:r>
              <w:t xml:space="preserve">7/25</w:t>
            </w:r>
          </w:p>
        </w:tc>
      </w:tr>
      <w:tr>
        <w:tc>
          <w:tcPr/>
          <w:p>
            <w:pPr>
              <w:pStyle w:val="Compact"/>
            </w:pPr>
            <w:r>
              <w:t xml:space="preserve">Post-GFC</w:t>
            </w:r>
          </w:p>
        </w:tc>
        <w:tc>
          <w:tcPr/>
          <w:p>
            <w:pPr>
              <w:pStyle w:val="Compact"/>
            </w:pPr>
            <w:r>
              <w:t xml:space="preserve">FF5</w:t>
            </w:r>
          </w:p>
        </w:tc>
        <w:tc>
          <w:tcPr/>
          <w:p>
            <w:pPr>
              <w:pStyle w:val="Compact"/>
            </w:pPr>
            <w:r>
              <w:t xml:space="preserve">0.231%</w:t>
            </w:r>
          </w:p>
        </w:tc>
        <w:tc>
          <w:tcPr/>
          <w:p>
            <w:pPr>
              <w:pStyle w:val="Compact"/>
            </w:pPr>
            <w:r>
              <w:t xml:space="preserve">0.747%</w:t>
            </w:r>
          </w:p>
        </w:tc>
        <w:tc>
          <w:tcPr/>
          <w:p>
            <w:pPr>
              <w:pStyle w:val="Compact"/>
            </w:pPr>
            <w:r>
              <w:t xml:space="preserve">1.41</w:t>
            </w:r>
          </w:p>
        </w:tc>
        <w:tc>
          <w:tcPr/>
          <w:p>
            <w:pPr>
              <w:pStyle w:val="Compact"/>
            </w:pPr>
            <w:r>
              <w:t xml:space="preserve">7/25</w:t>
            </w:r>
          </w:p>
        </w:tc>
      </w:tr>
    </w:tbl>
    <w:p>
      <w:pPr>
        <w:pStyle w:val="BodyText"/>
      </w:pPr>
      <w:r>
        <w:rPr>
          <w:b/>
          <w:bCs/>
        </w:rPr>
        <w:t xml:space="preserve">Table 7. GRS joint-alpha tests.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Sample</w:t>
            </w:r>
          </w:p>
        </w:tc>
        <w:tc>
          <w:tcPr/>
          <w:p>
            <w:pPr>
              <w:pStyle w:val="Compact"/>
            </w:pPr>
            <w:r>
              <w:t xml:space="preserve">Model</w:t>
            </w:r>
          </w:p>
        </w:tc>
        <w:tc>
          <w:tcPr/>
          <w:p>
            <w:pPr>
              <w:pStyle w:val="Compact"/>
            </w:pPr>
            <w:r>
              <w:t xml:space="preserve">GRS F</w:t>
            </w:r>
          </w:p>
        </w:tc>
        <w:tc>
          <w:tcPr/>
          <w:p>
            <w:pPr>
              <w:pStyle w:val="Compact"/>
            </w:pPr>
            <w:r>
              <w:t xml:space="preserve">df1</w:t>
            </w:r>
          </w:p>
        </w:tc>
        <w:tc>
          <w:tcPr/>
          <w:p>
            <w:pPr>
              <w:pStyle w:val="Compact"/>
            </w:pPr>
            <w:r>
              <w:t xml:space="preserve">df2</w:t>
            </w:r>
          </w:p>
        </w:tc>
        <w:tc>
          <w:tcPr/>
          <w:p>
            <w:pPr>
              <w:pStyle w:val="Compact"/>
            </w:pPr>
            <w:r>
              <w:t xml:space="preserve">p-value</w:t>
            </w:r>
          </w:p>
        </w:tc>
        <w:tc>
          <w:tcPr/>
          <w:p>
            <w:pPr>
              <w:pStyle w:val="Compact"/>
            </w:pPr>
            <w:r>
              <w:t xml:space="preserve">5% decision</w:t>
            </w:r>
          </w:p>
        </w:tc>
      </w:tr>
      <w:tr>
        <w:tc>
          <w:tcPr/>
          <w:p>
            <w:pPr>
              <w:pStyle w:val="Compact"/>
            </w:pPr>
            <w:r>
              <w:t xml:space="preserve">Earlier</w:t>
            </w:r>
          </w:p>
        </w:tc>
        <w:tc>
          <w:tcPr/>
          <w:p>
            <w:pPr>
              <w:pStyle w:val="Compact"/>
            </w:pPr>
            <w:r>
              <w:t xml:space="preserve">CAPM</w:t>
            </w:r>
          </w:p>
        </w:tc>
        <w:tc>
          <w:tcPr/>
          <w:p>
            <w:pPr>
              <w:pStyle w:val="Compact"/>
            </w:pPr>
            <w:r>
              <w:t xml:space="preserve">4.655</w:t>
            </w:r>
          </w:p>
        </w:tc>
        <w:tc>
          <w:tcPr/>
          <w:p>
            <w:pPr>
              <w:pStyle w:val="Compact"/>
            </w:pPr>
            <w:r>
              <w:t xml:space="preserve">25</w:t>
            </w:r>
          </w:p>
        </w:tc>
        <w:tc>
          <w:tcPr/>
          <w:p>
            <w:pPr>
              <w:pStyle w:val="Compact"/>
            </w:pPr>
            <w:r>
              <w:t xml:space="preserve">544</w:t>
            </w:r>
          </w:p>
        </w:tc>
        <w:tc>
          <w:tcPr/>
          <w:p>
            <w:pPr>
              <w:pStyle w:val="Compact"/>
            </w:pPr>
            <w:r>
              <w:t xml:space="preserve">3.141e-12</w:t>
            </w:r>
          </w:p>
        </w:tc>
        <w:tc>
          <w:tcPr/>
          <w:p>
            <w:pPr>
              <w:pStyle w:val="Compact"/>
            </w:pPr>
            <w:r>
              <w:t xml:space="preserve">Reject</w:t>
            </w:r>
          </w:p>
        </w:tc>
      </w:tr>
      <w:tr>
        <w:tc>
          <w:tcPr/>
          <w:p>
            <w:pPr>
              <w:pStyle w:val="Compact"/>
            </w:pPr>
            <w:r>
              <w:t xml:space="preserve">Earlier</w:t>
            </w:r>
          </w:p>
        </w:tc>
        <w:tc>
          <w:tcPr/>
          <w:p>
            <w:pPr>
              <w:pStyle w:val="Compact"/>
            </w:pPr>
            <w:r>
              <w:t xml:space="preserve">FF3</w:t>
            </w:r>
          </w:p>
        </w:tc>
        <w:tc>
          <w:tcPr/>
          <w:p>
            <w:pPr>
              <w:pStyle w:val="Compact"/>
            </w:pPr>
            <w:r>
              <w:t xml:space="preserve">4.647</w:t>
            </w:r>
          </w:p>
        </w:tc>
        <w:tc>
          <w:tcPr/>
          <w:p>
            <w:pPr>
              <w:pStyle w:val="Compact"/>
            </w:pPr>
            <w:r>
              <w:t xml:space="preserve">25</w:t>
            </w:r>
          </w:p>
        </w:tc>
        <w:tc>
          <w:tcPr/>
          <w:p>
            <w:pPr>
              <w:pStyle w:val="Compact"/>
            </w:pPr>
            <w:r>
              <w:t xml:space="preserve">542</w:t>
            </w:r>
          </w:p>
        </w:tc>
        <w:tc>
          <w:tcPr/>
          <w:p>
            <w:pPr>
              <w:pStyle w:val="Compact"/>
            </w:pPr>
            <w:r>
              <w:t xml:space="preserve">3.387e-12</w:t>
            </w:r>
          </w:p>
        </w:tc>
        <w:tc>
          <w:tcPr/>
          <w:p>
            <w:pPr>
              <w:pStyle w:val="Compact"/>
            </w:pPr>
            <w:r>
              <w:t xml:space="preserve">Reject</w:t>
            </w:r>
          </w:p>
        </w:tc>
      </w:tr>
      <w:tr>
        <w:tc>
          <w:tcPr/>
          <w:p>
            <w:pPr>
              <w:pStyle w:val="Compact"/>
            </w:pPr>
            <w:r>
              <w:t xml:space="preserve">Earlier</w:t>
            </w:r>
          </w:p>
        </w:tc>
        <w:tc>
          <w:tcPr/>
          <w:p>
            <w:pPr>
              <w:pStyle w:val="Compact"/>
            </w:pPr>
            <w:r>
              <w:t xml:space="preserve">FF5</w:t>
            </w:r>
          </w:p>
        </w:tc>
        <w:tc>
          <w:tcPr/>
          <w:p>
            <w:pPr>
              <w:pStyle w:val="Compact"/>
            </w:pPr>
            <w:r>
              <w:t xml:space="preserve">4.202</w:t>
            </w:r>
          </w:p>
        </w:tc>
        <w:tc>
          <w:tcPr/>
          <w:p>
            <w:pPr>
              <w:pStyle w:val="Compact"/>
            </w:pPr>
            <w:r>
              <w:t xml:space="preserve">25</w:t>
            </w:r>
          </w:p>
        </w:tc>
        <w:tc>
          <w:tcPr/>
          <w:p>
            <w:pPr>
              <w:pStyle w:val="Compact"/>
            </w:pPr>
            <w:r>
              <w:t xml:space="preserve">540</w:t>
            </w:r>
          </w:p>
        </w:tc>
        <w:tc>
          <w:tcPr/>
          <w:p>
            <w:pPr>
              <w:pStyle w:val="Compact"/>
            </w:pPr>
            <w:r>
              <w:t xml:space="preserve">1.363e-10</w:t>
            </w:r>
          </w:p>
        </w:tc>
        <w:tc>
          <w:tcPr/>
          <w:p>
            <w:pPr>
              <w:pStyle w:val="Compact"/>
            </w:pPr>
            <w:r>
              <w:t xml:space="preserve">Reject</w:t>
            </w:r>
          </w:p>
        </w:tc>
      </w:tr>
      <w:tr>
        <w:tc>
          <w:tcPr/>
          <w:p>
            <w:pPr>
              <w:pStyle w:val="Compact"/>
            </w:pPr>
            <w:r>
              <w:t xml:space="preserve">Post-GFC</w:t>
            </w:r>
          </w:p>
        </w:tc>
        <w:tc>
          <w:tcPr/>
          <w:p>
            <w:pPr>
              <w:pStyle w:val="Compact"/>
            </w:pPr>
            <w:r>
              <w:t xml:space="preserve">CAPM</w:t>
            </w:r>
          </w:p>
        </w:tc>
        <w:tc>
          <w:tcPr/>
          <w:p>
            <w:pPr>
              <w:pStyle w:val="Compact"/>
            </w:pPr>
            <w:r>
              <w:t xml:space="preserve">1.523</w:t>
            </w:r>
          </w:p>
        </w:tc>
        <w:tc>
          <w:tcPr/>
          <w:p>
            <w:pPr>
              <w:pStyle w:val="Compact"/>
            </w:pPr>
            <w:r>
              <w:t xml:space="preserve">25</w:t>
            </w:r>
          </w:p>
        </w:tc>
        <w:tc>
          <w:tcPr/>
          <w:p>
            <w:pPr>
              <w:pStyle w:val="Compact"/>
            </w:pPr>
            <w:r>
              <w:t xml:space="preserve">162</w:t>
            </w:r>
          </w:p>
        </w:tc>
        <w:tc>
          <w:tcPr/>
          <w:p>
            <w:pPr>
              <w:pStyle w:val="Compact"/>
            </w:pPr>
            <w:r>
              <w:t xml:space="preserve">0.06367</w:t>
            </w:r>
          </w:p>
        </w:tc>
        <w:tc>
          <w:tcPr/>
          <w:p>
            <w:pPr>
              <w:pStyle w:val="Compact"/>
            </w:pPr>
            <w:r>
              <w:t xml:space="preserve">Do not reject</w:t>
            </w:r>
          </w:p>
        </w:tc>
      </w:tr>
      <w:tr>
        <w:tc>
          <w:tcPr/>
          <w:p>
            <w:pPr>
              <w:pStyle w:val="Compact"/>
            </w:pPr>
            <w:r>
              <w:t xml:space="preserve">Post-GFC</w:t>
            </w:r>
          </w:p>
        </w:tc>
        <w:tc>
          <w:tcPr/>
          <w:p>
            <w:pPr>
              <w:pStyle w:val="Compact"/>
            </w:pPr>
            <w:r>
              <w:t xml:space="preserve">FF3</w:t>
            </w:r>
          </w:p>
        </w:tc>
        <w:tc>
          <w:tcPr/>
          <w:p>
            <w:pPr>
              <w:pStyle w:val="Compact"/>
            </w:pPr>
            <w:r>
              <w:t xml:space="preserve">1.579</w:t>
            </w:r>
          </w:p>
        </w:tc>
        <w:tc>
          <w:tcPr/>
          <w:p>
            <w:pPr>
              <w:pStyle w:val="Compact"/>
            </w:pPr>
            <w:r>
              <w:t xml:space="preserve">25</w:t>
            </w:r>
          </w:p>
        </w:tc>
        <w:tc>
          <w:tcPr/>
          <w:p>
            <w:pPr>
              <w:pStyle w:val="Compact"/>
            </w:pPr>
            <w:r>
              <w:t xml:space="preserve">160</w:t>
            </w:r>
          </w:p>
        </w:tc>
        <w:tc>
          <w:tcPr/>
          <w:p>
            <w:pPr>
              <w:pStyle w:val="Compact"/>
            </w:pPr>
            <w:r>
              <w:t xml:space="preserve">0.04894</w:t>
            </w:r>
          </w:p>
        </w:tc>
        <w:tc>
          <w:tcPr/>
          <w:p>
            <w:pPr>
              <w:pStyle w:val="Compact"/>
            </w:pPr>
            <w:r>
              <w:t xml:space="preserve">Reject</w:t>
            </w:r>
          </w:p>
        </w:tc>
      </w:tr>
      <w:tr>
        <w:tc>
          <w:tcPr/>
          <w:p>
            <w:pPr>
              <w:pStyle w:val="Compact"/>
            </w:pPr>
            <w:r>
              <w:t xml:space="preserve">Post-GFC</w:t>
            </w:r>
          </w:p>
        </w:tc>
        <w:tc>
          <w:tcPr/>
          <w:p>
            <w:pPr>
              <w:pStyle w:val="Compact"/>
            </w:pPr>
            <w:r>
              <w:t xml:space="preserve">FF5</w:t>
            </w:r>
          </w:p>
        </w:tc>
        <w:tc>
          <w:tcPr/>
          <w:p>
            <w:pPr>
              <w:pStyle w:val="Compact"/>
            </w:pPr>
            <w:r>
              <w:t xml:space="preserve">1.550</w:t>
            </w:r>
          </w:p>
        </w:tc>
        <w:tc>
          <w:tcPr/>
          <w:p>
            <w:pPr>
              <w:pStyle w:val="Compact"/>
            </w:pPr>
            <w:r>
              <w:t xml:space="preserve">25</w:t>
            </w:r>
          </w:p>
        </w:tc>
        <w:tc>
          <w:tcPr/>
          <w:p>
            <w:pPr>
              <w:pStyle w:val="Compact"/>
            </w:pPr>
            <w:r>
              <w:t xml:space="preserve">158</w:t>
            </w:r>
          </w:p>
        </w:tc>
        <w:tc>
          <w:tcPr/>
          <w:p>
            <w:pPr>
              <w:pStyle w:val="Compact"/>
            </w:pPr>
            <w:r>
              <w:t xml:space="preserve">0.05648</w:t>
            </w:r>
          </w:p>
        </w:tc>
        <w:tc>
          <w:tcPr/>
          <w:p>
            <w:pPr>
              <w:pStyle w:val="Compact"/>
            </w:pPr>
            <w:r>
              <w:t xml:space="preserve">Do not reject</w:t>
            </w:r>
          </w:p>
        </w:tc>
      </w:tr>
    </w:tbl>
    <w:p>
      <w:pPr>
        <w:pStyle w:val="BodyText"/>
      </w:pPr>
      <w:r>
        <w:t xml:space="preserve">The earlier individual and joint evidence agree that all three models leave systematic momentum-related returns. Post-GFC they give a more nuanced picture: several individual alphas remain significant, yet the joint tests are near the 5% boundary. FF3 rejects at 4.89%, while CAPM and FF5 do not at 6.37% and 5.65%. Residual covariance and the full alpha vector, not a count of individual t-tests, determine GRS.</w:t>
      </w:r>
    </w:p>
    <w:bookmarkEnd w:id="38"/>
    <w:bookmarkStart w:id="39" w:name="X3c9e398102d46590beb5dd1fc265ce0460a3351"/>
    <w:p>
      <w:pPr>
        <w:pStyle w:val="Heading2"/>
      </w:pPr>
      <w:r>
        <w:t xml:space="preserve">6. Integrated Interpretation Across the Three Testing Frameworks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Framework</w:t>
            </w:r>
          </w:p>
        </w:tc>
        <w:tc>
          <w:tcPr/>
          <w:p>
            <w:pPr>
              <w:pStyle w:val="Compact"/>
            </w:pPr>
            <w:r>
              <w:t xml:space="preserve">Main object</w:t>
            </w:r>
          </w:p>
        </w:tc>
        <w:tc>
          <w:tcPr/>
          <w:p>
            <w:pPr>
              <w:pStyle w:val="Compact"/>
            </w:pPr>
            <w:r>
              <w:t xml:space="preserve">Economic question</w:t>
            </w:r>
          </w:p>
        </w:tc>
      </w:tr>
      <w:tr>
        <w:tc>
          <w:tcPr/>
          <w:p>
            <w:pPr>
              <w:pStyle w:val="Compact"/>
            </w:pPr>
            <w:r>
              <w:t xml:space="preserve">Two-pass</w:t>
            </w:r>
          </w:p>
        </w:tc>
        <w:tc>
          <w:tcPr/>
          <w:p>
            <w:pPr>
              <w:pStyle w:val="Compact"/>
            </w:pPr>
            <w:r>
              <w:t xml:space="preserve">Lambda from average-return cross section</w:t>
            </w:r>
          </w:p>
        </w:tc>
        <w:tc>
          <w:tcPr/>
          <w:p>
            <w:pPr>
              <w:pStyle w:val="Compact"/>
            </w:pPr>
            <w:r>
              <w:t xml:space="preserve">Are long-run average returns related to full-sample factor betas?</w:t>
            </w:r>
          </w:p>
        </w:tc>
      </w:tr>
      <w:tr>
        <w:tc>
          <w:tcPr/>
          <w:p>
            <w:pPr>
              <w:pStyle w:val="Compact"/>
            </w:pPr>
            <w:r>
              <w:t xml:space="preserve">Fama–MacBeth</w:t>
            </w:r>
          </w:p>
        </w:tc>
        <w:tc>
          <w:tcPr/>
          <w:p>
            <w:pPr>
              <w:pStyle w:val="Compact"/>
            </w:pPr>
            <w:r>
              <w:t xml:space="preserve">Monthly predictive lambda_t</w:t>
            </w:r>
          </w:p>
        </w:tc>
        <w:tc>
          <w:tcPr/>
          <w:p>
            <w:pPr>
              <w:pStyle w:val="Compact"/>
            </w:pPr>
            <w:r>
              <w:t xml:space="preserve">Do exposures estimated through t predict returns at t+1?</w:t>
            </w:r>
          </w:p>
        </w:tc>
      </w:tr>
      <w:tr>
        <w:tc>
          <w:tcPr/>
          <w:p>
            <w:pPr>
              <w:pStyle w:val="Compact"/>
            </w:pPr>
            <w:r>
              <w:t xml:space="preserve">Time-series / GRS</w:t>
            </w:r>
          </w:p>
        </w:tc>
        <w:tc>
          <w:tcPr/>
          <w:p>
            <w:pPr>
              <w:pStyle w:val="Compact"/>
            </w:pPr>
            <w:r>
              <w:t xml:space="preserve">Portfolio alpha_i</w:t>
            </w:r>
          </w:p>
        </w:tc>
        <w:tc>
          <w:tcPr/>
          <w:p>
            <w:pPr>
              <w:pStyle w:val="Compact"/>
            </w:pPr>
            <w:r>
              <w:t xml:space="preserve">Does the model leave systematic unexplained returns?</w:t>
            </w:r>
          </w:p>
        </w:tc>
      </w:tr>
    </w:tbl>
    <w:p>
      <w:pPr>
        <w:pStyle w:val="BodyText"/>
      </w:pPr>
      <w:r>
        <w:t xml:space="preserve">The empirical results are not contradictory. FF5's mean two-pass R² of 0.808 earlier says its beta pattern spans much of the variation in average returns across each 25-asset family. It does not imply that all time-series intercepts are zero: on Size × Momentum, earlier GRS still rejects FF5 decisively. Similarly, the weak average FM t-statistics reflect large month-to-month lambda variation and beta-estimation noise; they do not undo the descriptive full-sample cross-sectional fit. Finally, adding a factor can improve time-series or cross-sectional fit without producing a precisely estimated price for that factor in every asset universe.</w:t>
      </w:r>
    </w:p>
    <w:bookmarkEnd w:id="39"/>
    <w:bookmarkStart w:id="49" w:name="Xd62473a2b07910d35e32dd1d1db038259c0a934"/>
    <w:p>
      <w:pPr>
        <w:pStyle w:val="Heading2"/>
      </w:pPr>
      <w:r>
        <w:t xml:space="preserve">7. Answers to Analysis and Interpretation Questions</w:t>
      </w:r>
    </w:p>
    <w:bookmarkStart w:id="40" w:name="X355fad5d107b62f1b72fb1d7aa92bd0702f7df0"/>
    <w:p>
      <w:pPr>
        <w:pStyle w:val="Heading3"/>
      </w:pPr>
      <w:r>
        <w:t xml:space="preserve">1. Does the CAPM price the cross section of the 5×5 portfolios? Where are its largest systematic pricing errors?</w:t>
      </w:r>
    </w:p>
    <w:p>
      <w:pPr>
        <w:pStyle w:val="FirstParagraph"/>
      </w:pPr>
      <w:r>
        <w:t xml:space="preserve">Generally, no. CAPM mean R² across the eleven families is 0.093 earlier and 0.183 post-GFC. Size × B/M R² is 0.078 and 0.008; across families, CAPM R² ranges from 0.001 for earlier Net Share Issues to 0.324 for earlier Short-Term Reversal, and from 0.007 for post-GFC Net Share Issues to 0.514 for post-GFC Momentum.</w:t>
      </w:r>
    </w:p>
    <w:p>
      <w:pPr>
        <w:pStyle w:val="BodyText"/>
      </w:pPr>
      <w:r>
        <w:t xml:space="preserve">The largest earlier error is Small/High Momentum (+0.796% per month). Extreme Small/High Short-Term Reversal, Variance, and Residual Variance portfolios have errors near −0.67% to −0.70%. Post-GFC, Small/High Variance is −0.797%, Big/portfolio-3 Net Share Issues is +0.660%, and Small/High Residual Variance is −0.642%. In Size × B/M, errors appear at both value and growth corners rather than in one size bucket alone.</w:t>
      </w:r>
    </w:p>
    <w:bookmarkEnd w:id="40"/>
    <w:bookmarkStart w:id="41" w:name="X87e3ffc25934b91049f6e6ab3bd5027aa64f56e"/>
    <w:p>
      <w:pPr>
        <w:pStyle w:val="Heading3"/>
      </w:pPr>
      <w:r>
        <w:t xml:space="preserve">2. How much do FF3 and FF5 improve cross-sectional pricing, and is improvement consistent?</w:t>
      </w:r>
    </w:p>
    <w:p>
      <w:pPr>
        <w:pStyle w:val="FirstParagraph"/>
      </w:pPr>
      <w:r>
        <w:t xml:space="preserve">Earlier, mean R² rises from 0.093 under CAPM to 0.687 under FF3 and 0.808 under FF5; mean absolute error falls from 0.190% to 0.102% and 0.080%. Post-GFC, mean R² rises from 0.183 to 0.381 and 0.508, while mean absolute errors fall more modestly from 0.118% to 0.107% and 0.098%.</w:t>
      </w:r>
    </w:p>
    <w:p>
      <w:pPr>
        <w:pStyle w:val="BodyText"/>
      </w:pPr>
      <w:r>
        <w:t xml:space="preserve">R² improves in all eleven families in both samples, but magnitudes differ sharply. Earlier FF5 gains range from +0.541 for Short-Term Reversal to +0.879 for Profitability; post-GFC gains range from only +0.036 for Momentum to +0.582 for Variance. The improvement is broad but not uniform, and post-GFC error reductions are much less dramatic than R² comparisons alone suggest.</w:t>
      </w:r>
    </w:p>
    <w:bookmarkEnd w:id="41"/>
    <w:bookmarkStart w:id="42" w:name="Xc9c4fd4ed08534760ba84287860ea962ba5e117"/>
    <w:p>
      <w:pPr>
        <w:pStyle w:val="Heading3"/>
      </w:pPr>
      <w:r>
        <w:t xml:space="preserve">3. Does HML retain an independent price in FF5?</w:t>
      </w:r>
    </w:p>
    <w:p>
      <w:pPr>
        <w:pStyle w:val="FirstParagraph"/>
      </w:pPr>
      <w:r>
        <w:t xml:space="preserve">Earlier, the median family HML price is 0.241% per month and the median ΔR² is 0.018; 3 of 11 prices are significant at 5%. Size × B/M is strongly positive, Momentum strongly negative, and Market Beta positive. This is evidence that HML can add information, but its price is not invariant to the test assets.</w:t>
      </w:r>
    </w:p>
    <w:p>
      <w:pPr>
        <w:pStyle w:val="BodyText"/>
      </w:pPr>
      <w:r>
        <w:t xml:space="preserve">Post-GFC, the median price is -0.126%, only one family is significant, and signs are positive in 4 of 11 families. Long-Term Reversal has a significant negative HML price and the largest ΔR², while Size × B/M has virtually zero incremental fit. The appropriate conclusion is sample- and asset-dependent identification—not blanket redundancy or universal pricing.</w:t>
      </w:r>
    </w:p>
    <w:bookmarkEnd w:id="42"/>
    <w:bookmarkStart w:id="43" w:name="Xf8e0b0311521033399a4c499b38998510529f00"/>
    <w:p>
      <w:pPr>
        <w:pStyle w:val="Heading3"/>
      </w:pPr>
      <w:r>
        <w:t xml:space="preserve">4. How do factor prices differ between 1963–2010 and the post-GFC period?</w:t>
      </w:r>
    </w:p>
    <w:p>
      <w:pPr>
        <w:pStyle w:val="FirstParagraph"/>
      </w:pPr>
      <w:r>
        <w:t xml:space="preserve">In the two-pass FF5 cross sections, median prices across families shift from MKT 0.119%, SMB 0.298%, HML 0.241%, RMW 0.238%, and CMA 0.278% earlier to MKT 0.153%, SMB -0.144%, HML -0.126%, RMW 0.031%, and CMA 0.090% post-GFC. SMB and HML notably change from positive to negative medians.</w:t>
      </w:r>
    </w:p>
    <w:p>
      <w:pPr>
        <w:pStyle w:val="BodyText"/>
      </w:pPr>
      <w:r>
        <w:t xml:space="preserve">In predictive FM specification 8, combined-univariate MKT moves from −0.061% to +0.426%, while SMB/HML/CMA move from positive to negative; RMW remains positive but shrinks. Industries differ: HML remains about +0.238% in both samples, while MKT rises from essentially zero to +0.254%. None of the post-GFC factor prices is precisely estimated.</w:t>
      </w:r>
    </w:p>
    <w:bookmarkEnd w:id="43"/>
    <w:bookmarkStart w:id="44" w:name="Xb1eab8430fcbce01911525757e2da3b9d77a022"/>
    <w:p>
      <w:pPr>
        <w:pStyle w:val="Heading3"/>
      </w:pPr>
      <w:r>
        <w:t xml:space="preserve">5. Are FM factor-price signs economically sensible relative to historical premia?</w:t>
      </w:r>
    </w:p>
    <w:p>
      <w:pPr>
        <w:pStyle w:val="FirstParagraph"/>
      </w:pPr>
      <w:r>
        <w:t xml:space="preserve">Earlier historical means are positive for all five factors. Combined-univariate specification-8 signs match for SMB, HML, RMW, and CMA, but not MKT; industries match for HML, RMW, and CMA, with near-zero MKT and negative SMB. Post-GFC historical SMB, HML, and CMA premia are negative, matching combined-univariate FM signs. Industry HML is instead positive, and industry SMB/CMA are nearly zero.</w:t>
      </w:r>
    </w:p>
    <w:p>
      <w:pPr>
        <w:pStyle w:val="BodyText"/>
      </w:pPr>
      <w:r>
        <w:t xml:space="preserve">The partial sign agreement is economically sensible but not mechanical validation. Factor returns are payoffs to particular long-short portfolios; FM lambdas are prices inferred from the beta dispersion of a chosen test-asset cross section. Weak beta dispersion, sampling noise, and model misspecification can separate the two.</w:t>
      </w:r>
    </w:p>
    <w:bookmarkEnd w:id="44"/>
    <w:bookmarkStart w:id="45" w:name="Xc1c7a9752af7a54b18629a65163ca77c1d0fe80"/>
    <w:p>
      <w:pPr>
        <w:pStyle w:val="Heading3"/>
      </w:pPr>
      <w:r>
        <w:t xml:space="preserve">6. Are FM conclusions sensitive to characteristic portfolios versus industries?</w:t>
      </w:r>
    </w:p>
    <w:p>
      <w:pPr>
        <w:pStyle w:val="FirstParagraph"/>
      </w:pPr>
      <w:r>
        <w:t xml:space="preserve">Yes. Earlier, combined portfolios emphasize RMW (0.181%, t = 2.01 in specification 8), whereas industries emphasize HML (0.238%, t = 1.98). Earlier industry MKT and SMB prices are virtually zero, while combined portfolios provide somewhat more positive SMB/RMW structure. Post-GFC, combined HML is negative (−0.148%, t = −0.58), but industry HML is positive (+0.238%, t = 0.96).</w:t>
      </w:r>
    </w:p>
    <w:p>
      <w:pPr>
        <w:pStyle w:val="BodyText"/>
      </w:pPr>
      <w:r>
        <w:t xml:space="preserve">Characteristic sorts are constructed to spread firm attributes and often generate stronger dispersion in corresponding factor betas and expected returns. Industries instead vary by economic activity and may span factor exposures differently. The coefficients therefore answer asset-universe-specific cross-sectional questions; neither universe alone supplies a universal price vector.</w:t>
      </w:r>
    </w:p>
    <w:bookmarkEnd w:id="45"/>
    <w:bookmarkStart w:id="46" w:name="Xb72a339b6229f12a64c6457276d6c02025ee92b"/>
    <w:p>
      <w:pPr>
        <w:pStyle w:val="Heading3"/>
      </w:pPr>
      <w:r>
        <w:t xml:space="preserve">7. How volatile are specification-8 monthly factor prices?</w:t>
      </w:r>
    </w:p>
    <w:p>
      <w:pPr>
        <w:pStyle w:val="FirstParagraph"/>
      </w:pPr>
      <w:r>
        <w:t xml:space="preserve">Very volatile. MKT lambda standard deviations are 4.57%–5.44% per month, with signs close to evenly split. HML standard deviations are 2.74%–3.51%; RMW and CMA are lower but still about 1.95%–2.43%. These dispersions dwarf the corresponding mean lambdas.</w:t>
      </w:r>
    </w:p>
    <w:p>
      <w:pPr>
        <w:pStyle w:val="BodyText"/>
      </w:pPr>
      <w:r>
        <w:t xml:space="preserve">Notable computed extremes include combined-univariate MKT +22.06% in April 2009 and −21.25% in November 2000; post-GFC combined HML reaches −17.48% in March 2020 and +10.54% in January 2022. Industry MKT reaches +33.15% in April 2009 and post-GFC ranges from −17.04% in September 2011 to +17.55% in August 2020. The report does not assign causal event explanations to these dates.</w:t>
      </w:r>
    </w:p>
    <w:bookmarkEnd w:id="46"/>
    <w:bookmarkStart w:id="47" w:name="X7a2a82b36602ed28a1a618812e4ee36a67e81fd"/>
    <w:p>
      <w:pPr>
        <w:pStyle w:val="Heading3"/>
      </w:pPr>
      <w:r>
        <w:t xml:space="preserve">8. What are the limitations of a fixed 36-month rolling-beta window?</w:t>
      </w:r>
    </w:p>
    <w:p>
      <w:pPr>
        <w:pStyle w:val="FirstParagraph"/>
      </w:pPr>
      <w:r>
        <w:t xml:space="preserve">Thirty-six observations produce noisy multivariate beta estimates, especially for FF5, creating an errors-in-variables problem in the second-stage cross sections. A longer window would reduce variance but increase bias when exposures change; a shorter window would adapt faster but amplify estimation noise. The method assumes exposures are locally stable inside each window and cannot react instantly to structural breaks or a single abrupt regime change.</w:t>
      </w:r>
    </w:p>
    <w:p>
      <w:pPr>
        <w:pStyle w:val="BodyText"/>
      </w:pPr>
      <w:r>
        <w:t xml:space="preserve">Adjacent windows share 35 of 36 observations, making estimated betas highly serially dependent. Extreme returns can influence many successive windows. Requiring complete observations can also change the available cross section when data are missing. The audited t−35 through t → t+1 alignment prevents look-ahead bias, but it does not remove beta noise, overlap-induced dependence, sensitivity to outliers, or attenuation and instability in estimated factor prices.</w:t>
      </w:r>
    </w:p>
    <w:bookmarkEnd w:id="47"/>
    <w:bookmarkStart w:id="48" w:name="Xa946d335601e0cf4c2c4e1df25b898c3be417ed"/>
    <w:p>
      <w:pPr>
        <w:pStyle w:val="Heading3"/>
      </w:pPr>
      <w:r>
        <w:t xml:space="preserve">9. Do individual alpha tests and GRS tell the same story?</w:t>
      </w:r>
    </w:p>
    <w:p>
      <w:pPr>
        <w:pStyle w:val="FirstParagraph"/>
      </w:pPr>
      <w:r>
        <w:t xml:space="preserve">Earlier they broadly agree: many momentum-portfolio alphas are individually significant—17 under CAPM, 17 under FF3, and 19 under FF5—and GRS rejects all three models with p-values below 1.4×10⁻¹⁰. FF5 lowers mean absolute alpha but leaves an especially strong Small Low-to-High Momentum contrast, so improved fit does not satisfy the zero-alpha restriction.</w:t>
      </w:r>
    </w:p>
    <w:p>
      <w:pPr>
        <w:pStyle w:val="BodyText"/>
      </w:pPr>
      <w:r>
        <w:t xml:space="preserve">Post-GFC the impressions differ. Individual significant-alpha counts are 5, 7, and 7, yet GRS p-values are 0.0637, 0.0489, and 0.0565 for CAPM, FF3, and FF5. GRS jointly weights the full alpha vector by residual covariance; several modest correlated alphas may reject, while one large t-statistic need not. The borderline post-GFC decisions should not be presented as a stable ranking of models.</w:t>
      </w:r>
    </w:p>
    <w:bookmarkEnd w:id="48"/>
    <w:bookmarkEnd w:id="49"/>
    <w:bookmarkStart w:id="50" w:name="X8d25a0932c72505bbd0021bf8633bc6ce4bd849"/>
    <w:p>
      <w:pPr>
        <w:pStyle w:val="Heading2"/>
      </w:pPr>
      <w:r>
        <w:t xml:space="preserve">8. Methodological Limitations</w:t>
      </w:r>
    </w:p>
    <w:p>
      <w:pPr>
        <w:pStyle w:val="FirstParagraph"/>
      </w:pPr>
      <w:r>
        <w:t xml:space="preserve">Beyond rolling-beta limitations, the two-pass estimates treat first-pass betas as regressors without a Shanken-style errors-in-variables correction. The eleven families are related rather than independent experiments, so family-level significance counts do not correct for multiple testing. Cross-sectional R² can rise mechanically with additional regressors and does not establish zero alphas. FM results depend on test-asset beta dispersion and use conventional time-series inference as the primary assignment result; six-lag HAC estimates are a robustness diagnostic, not a cure for all dependence. GRS assumes stable linear factor structure, invertible covariance matrices, and the selected 25-asset universe. Finally, Kenneth French histories can be revised, so the source hashes and August 2026 endpoint are part of the result definition.</w:t>
      </w:r>
    </w:p>
    <w:bookmarkEnd w:id="50"/>
    <w:bookmarkStart w:id="51" w:name="X3b49f52646b6b4b62f38009148e9dd17ee2385d"/>
    <w:p>
      <w:pPr>
        <w:pStyle w:val="Heading2"/>
      </w:pPr>
      <w:r>
        <w:t xml:space="preserve">9. Concluding Takeaways</w:t>
      </w:r>
    </w:p>
    <w:p>
      <w:pPr>
        <w:pStyle w:val="FirstParagraph"/>
      </w:pPr>
      <w:r>
        <w:t xml:space="preserve">CAPM does not organize the eleven 5×5 average-return cross sections well, and its largest errors concentrate in economically extreme characteristic cells. FF3 and FF5 improve cross-sectional fit across every family, with FF5 strongest in the earlier sample, but post-GFC gains are smaller and residual error patterns remain.</w:t>
      </w:r>
    </w:p>
    <w:p>
      <w:pPr>
        <w:pStyle w:val="BodyText"/>
      </w:pPr>
      <w:r>
        <w:t xml:space="preserve">HML's incremental role is conditional: it is powerful for some earlier cross sections, irrelevant for post-GFC Size × B/M, and negative for other families. FM evidence is likewise universe dependent and generally imprecise because monthly factor prices are highly volatile. Time-series evidence for Size × Momentum remains the most demanding: all three models fail the earlier joint-alpha test, while post-GFC GRS results sit near the conventional threshold. Taken together, the models describe important dimensions of average returns without delivering a single, stable, universally validated price system.</w:t>
      </w:r>
    </w:p>
    <w:bookmarkEnd w:id="51"/>
    <w:bookmarkStart w:id="60" w:name="appendix-supporting-tables-and-figures"/>
    <w:p>
      <w:pPr>
        <w:pStyle w:val="Heading2"/>
      </w:pPr>
      <w:r>
        <w:t xml:space="preserve">Appendix: Supporting Tables and Figures</w:t>
      </w:r>
    </w:p>
    <w:bookmarkStart w:id="52" w:name="X32f23265a9d4aab7d6fe7149e70b089718aecc7"/>
    <w:p>
      <w:pPr>
        <w:pStyle w:val="Heading3"/>
      </w:pPr>
      <w:r>
        <w:t xml:space="preserve">Appendix Table A1. HML incremental diagnostic by family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Family</w:t>
            </w:r>
          </w:p>
        </w:tc>
        <w:tc>
          <w:tcPr/>
          <w:p>
            <w:pPr>
              <w:pStyle w:val="Compact"/>
            </w:pPr>
            <w:r>
              <w:t xml:space="preserve">Sample</w:t>
            </w:r>
          </w:p>
        </w:tc>
        <w:tc>
          <w:tcPr/>
          <w:p>
            <w:pPr>
              <w:pStyle w:val="Compact"/>
            </w:pPr>
            <w:r>
              <w:t xml:space="preserve">HML price</w:t>
            </w:r>
          </w:p>
        </w:tc>
        <w:tc>
          <w:tcPr/>
          <w:p>
            <w:pPr>
              <w:pStyle w:val="Compact"/>
            </w:pPr>
            <w:r>
              <w:t xml:space="preserve">t</w:t>
            </w:r>
          </w:p>
        </w:tc>
        <w:tc>
          <w:tcPr/>
          <w:p>
            <w:pPr>
              <w:pStyle w:val="Compact"/>
            </w:pPr>
            <w:r>
              <w:t xml:space="preserve">p</w:t>
            </w:r>
          </w:p>
        </w:tc>
        <w:tc>
          <w:tcPr/>
          <w:p>
            <w:pPr>
              <w:pStyle w:val="Compact"/>
            </w:pPr>
            <w:r>
              <w:t xml:space="preserve">ΔR²</w:t>
            </w:r>
          </w:p>
        </w:tc>
      </w:tr>
      <w:tr>
        <w:tc>
          <w:tcPr/>
          <w:p>
            <w:pPr>
              <w:pStyle w:val="Compact"/>
            </w:pPr>
            <w:r>
              <w:t xml:space="preserve">Book-to-Market</w:t>
            </w:r>
          </w:p>
        </w:tc>
        <w:tc>
          <w:tcPr/>
          <w:p>
            <w:pPr>
              <w:pStyle w:val="Compact"/>
            </w:pPr>
            <w:r>
              <w:t xml:space="preserve">Earlier</w:t>
            </w:r>
          </w:p>
        </w:tc>
        <w:tc>
          <w:tcPr/>
          <w:p>
            <w:pPr>
              <w:pStyle w:val="Compact"/>
            </w:pPr>
            <w:r>
              <w:t xml:space="preserve">0.380%</w:t>
            </w:r>
          </w:p>
        </w:tc>
        <w:tc>
          <w:tcPr/>
          <w:p>
            <w:pPr>
              <w:pStyle w:val="Compact"/>
            </w:pPr>
            <w:r>
              <w:t xml:space="preserve">6.26</w:t>
            </w:r>
          </w:p>
        </w:tc>
        <w:tc>
          <w:tcPr/>
          <w:p>
            <w:pPr>
              <w:pStyle w:val="Compact"/>
            </w:pPr>
            <w:r>
              <w:t xml:space="preserve">0.000</w:t>
            </w:r>
          </w:p>
        </w:tc>
        <w:tc>
          <w:tcPr/>
          <w:p>
            <w:pPr>
              <w:pStyle w:val="Compact"/>
            </w:pPr>
            <w:r>
              <w:t xml:space="preserve">+0.389</w:t>
            </w:r>
          </w:p>
        </w:tc>
      </w:tr>
      <w:tr>
        <w:tc>
          <w:tcPr/>
          <w:p>
            <w:pPr>
              <w:pStyle w:val="Compact"/>
            </w:pPr>
            <w:r>
              <w:t xml:space="preserve">Book-to-Market</w:t>
            </w:r>
          </w:p>
        </w:tc>
        <w:tc>
          <w:tcPr/>
          <w:p>
            <w:pPr>
              <w:pStyle w:val="Compact"/>
            </w:pPr>
            <w:r>
              <w:t xml:space="preserve">Post-GFC</w:t>
            </w:r>
          </w:p>
        </w:tc>
        <w:tc>
          <w:tcPr/>
          <w:p>
            <w:pPr>
              <w:pStyle w:val="Compact"/>
            </w:pPr>
            <w:r>
              <w:t xml:space="preserve">0.006%</w:t>
            </w:r>
          </w:p>
        </w:tc>
        <w:tc>
          <w:tcPr/>
          <w:p>
            <w:pPr>
              <w:pStyle w:val="Compact"/>
            </w:pPr>
            <w:r>
              <w:t xml:space="preserve">0.08</w:t>
            </w:r>
          </w:p>
        </w:tc>
        <w:tc>
          <w:tcPr/>
          <w:p>
            <w:pPr>
              <w:pStyle w:val="Compact"/>
            </w:pPr>
            <w:r>
              <w:t xml:space="preserve">0.941</w:t>
            </w:r>
          </w:p>
        </w:tc>
        <w:tc>
          <w:tcPr/>
          <w:p>
            <w:pPr>
              <w:pStyle w:val="Compact"/>
            </w:pPr>
            <w:r>
              <w:t xml:space="preserve">+0.000</w:t>
            </w:r>
          </w:p>
        </w:tc>
      </w:tr>
      <w:tr>
        <w:tc>
          <w:tcPr/>
          <w:p>
            <w:pPr>
              <w:pStyle w:val="Compact"/>
            </w:pPr>
            <w:r>
              <w:t xml:space="preserve">Operating Profitability</w:t>
            </w:r>
          </w:p>
        </w:tc>
        <w:tc>
          <w:tcPr/>
          <w:p>
            <w:pPr>
              <w:pStyle w:val="Compact"/>
            </w:pPr>
            <w:r>
              <w:t xml:space="preserve">Earlier</w:t>
            </w:r>
          </w:p>
        </w:tc>
        <w:tc>
          <w:tcPr/>
          <w:p>
            <w:pPr>
              <w:pStyle w:val="Compact"/>
            </w:pPr>
            <w:r>
              <w:t xml:space="preserve">0.241%</w:t>
            </w:r>
          </w:p>
        </w:tc>
        <w:tc>
          <w:tcPr/>
          <w:p>
            <w:pPr>
              <w:pStyle w:val="Compact"/>
            </w:pPr>
            <w:r>
              <w:t xml:space="preserve">1.92</w:t>
            </w:r>
          </w:p>
        </w:tc>
        <w:tc>
          <w:tcPr/>
          <w:p>
            <w:pPr>
              <w:pStyle w:val="Compact"/>
            </w:pPr>
            <w:r>
              <w:t xml:space="preserve">0.070</w:t>
            </w:r>
          </w:p>
        </w:tc>
        <w:tc>
          <w:tcPr/>
          <w:p>
            <w:pPr>
              <w:pStyle w:val="Compact"/>
            </w:pPr>
            <w:r>
              <w:t xml:space="preserve">+0.018</w:t>
            </w:r>
          </w:p>
        </w:tc>
      </w:tr>
      <w:tr>
        <w:tc>
          <w:tcPr/>
          <w:p>
            <w:pPr>
              <w:pStyle w:val="Compact"/>
            </w:pPr>
            <w:r>
              <w:t xml:space="preserve">Operating Profitability</w:t>
            </w:r>
          </w:p>
        </w:tc>
        <w:tc>
          <w:tcPr/>
          <w:p>
            <w:pPr>
              <w:pStyle w:val="Compact"/>
            </w:pPr>
            <w:r>
              <w:t xml:space="preserve">Post-GFC</w:t>
            </w:r>
          </w:p>
        </w:tc>
        <w:tc>
          <w:tcPr/>
          <w:p>
            <w:pPr>
              <w:pStyle w:val="Compact"/>
            </w:pPr>
            <w:r>
              <w:t xml:space="preserve">-0.061%</w:t>
            </w:r>
          </w:p>
        </w:tc>
        <w:tc>
          <w:tcPr/>
          <w:p>
            <w:pPr>
              <w:pStyle w:val="Compact"/>
            </w:pPr>
            <w:r>
              <w:t xml:space="preserve">-0.40</w:t>
            </w:r>
          </w:p>
        </w:tc>
        <w:tc>
          <w:tcPr/>
          <w:p>
            <w:pPr>
              <w:pStyle w:val="Compact"/>
            </w:pPr>
            <w:r>
              <w:t xml:space="preserve">0.692</w:t>
            </w:r>
          </w:p>
        </w:tc>
        <w:tc>
          <w:tcPr/>
          <w:p>
            <w:pPr>
              <w:pStyle w:val="Compact"/>
            </w:pPr>
            <w:r>
              <w:t xml:space="preserve">+0.004</w:t>
            </w:r>
          </w:p>
        </w:tc>
      </w:tr>
      <w:tr>
        <w:tc>
          <w:tcPr/>
          <w:p>
            <w:pPr>
              <w:pStyle w:val="Compact"/>
            </w:pPr>
            <w:r>
              <w:t xml:space="preserve">Investment</w:t>
            </w:r>
          </w:p>
        </w:tc>
        <w:tc>
          <w:tcPr/>
          <w:p>
            <w:pPr>
              <w:pStyle w:val="Compact"/>
            </w:pPr>
            <w:r>
              <w:t xml:space="preserve">Earlier</w:t>
            </w:r>
          </w:p>
        </w:tc>
        <w:tc>
          <w:tcPr/>
          <w:p>
            <w:pPr>
              <w:pStyle w:val="Compact"/>
            </w:pPr>
            <w:r>
              <w:t xml:space="preserve">0.568%</w:t>
            </w:r>
          </w:p>
        </w:tc>
        <w:tc>
          <w:tcPr/>
          <w:p>
            <w:pPr>
              <w:pStyle w:val="Compact"/>
            </w:pPr>
            <w:r>
              <w:t xml:space="preserve">1.54</w:t>
            </w:r>
          </w:p>
        </w:tc>
        <w:tc>
          <w:tcPr/>
          <w:p>
            <w:pPr>
              <w:pStyle w:val="Compact"/>
            </w:pPr>
            <w:r>
              <w:t xml:space="preserve">0.141</w:t>
            </w:r>
          </w:p>
        </w:tc>
        <w:tc>
          <w:tcPr/>
          <w:p>
            <w:pPr>
              <w:pStyle w:val="Compact"/>
            </w:pPr>
            <w:r>
              <w:t xml:space="preserve">+0.032</w:t>
            </w:r>
          </w:p>
        </w:tc>
      </w:tr>
      <w:tr>
        <w:tc>
          <w:tcPr/>
          <w:p>
            <w:pPr>
              <w:pStyle w:val="Compact"/>
            </w:pPr>
            <w:r>
              <w:t xml:space="preserve">Investment</w:t>
            </w:r>
          </w:p>
        </w:tc>
        <w:tc>
          <w:tcPr/>
          <w:p>
            <w:pPr>
              <w:pStyle w:val="Compact"/>
            </w:pPr>
            <w:r>
              <w:t xml:space="preserve">Post-GFC</w:t>
            </w:r>
          </w:p>
        </w:tc>
        <w:tc>
          <w:tcPr/>
          <w:p>
            <w:pPr>
              <w:pStyle w:val="Compact"/>
            </w:pPr>
            <w:r>
              <w:t xml:space="preserve">0.151%</w:t>
            </w:r>
          </w:p>
        </w:tc>
        <w:tc>
          <w:tcPr/>
          <w:p>
            <w:pPr>
              <w:pStyle w:val="Compact"/>
            </w:pPr>
            <w:r>
              <w:t xml:space="preserve">0.79</w:t>
            </w:r>
          </w:p>
        </w:tc>
        <w:tc>
          <w:tcPr/>
          <w:p>
            <w:pPr>
              <w:pStyle w:val="Compact"/>
            </w:pPr>
            <w:r>
              <w:t xml:space="preserve">0.440</w:t>
            </w:r>
          </w:p>
        </w:tc>
        <w:tc>
          <w:tcPr/>
          <w:p>
            <w:pPr>
              <w:pStyle w:val="Compact"/>
            </w:pPr>
            <w:r>
              <w:t xml:space="preserve">+0.020</w:t>
            </w:r>
          </w:p>
        </w:tc>
      </w:tr>
      <w:tr>
        <w:tc>
          <w:tcPr/>
          <w:p>
            <w:pPr>
              <w:pStyle w:val="Compact"/>
            </w:pPr>
            <w:r>
              <w:t xml:space="preserve">Momentum</w:t>
            </w:r>
          </w:p>
        </w:tc>
        <w:tc>
          <w:tcPr/>
          <w:p>
            <w:pPr>
              <w:pStyle w:val="Compact"/>
            </w:pPr>
            <w:r>
              <w:t xml:space="preserve">Earlier</w:t>
            </w:r>
          </w:p>
        </w:tc>
        <w:tc>
          <w:tcPr/>
          <w:p>
            <w:pPr>
              <w:pStyle w:val="Compact"/>
            </w:pPr>
            <w:r>
              <w:t xml:space="preserve">-0.872%</w:t>
            </w:r>
          </w:p>
        </w:tc>
        <w:tc>
          <w:tcPr/>
          <w:p>
            <w:pPr>
              <w:pStyle w:val="Compact"/>
            </w:pPr>
            <w:r>
              <w:t xml:space="preserve">-4.58</w:t>
            </w:r>
          </w:p>
        </w:tc>
        <w:tc>
          <w:tcPr/>
          <w:p>
            <w:pPr>
              <w:pStyle w:val="Compact"/>
            </w:pPr>
            <w:r>
              <w:t xml:space="preserve">0.000</w:t>
            </w:r>
          </w:p>
        </w:tc>
        <w:tc>
          <w:tcPr/>
          <w:p>
            <w:pPr>
              <w:pStyle w:val="Compact"/>
            </w:pPr>
            <w:r>
              <w:t xml:space="preserve">+0.135</w:t>
            </w:r>
          </w:p>
        </w:tc>
      </w:tr>
      <w:tr>
        <w:tc>
          <w:tcPr/>
          <w:p>
            <w:pPr>
              <w:pStyle w:val="Compact"/>
            </w:pPr>
            <w:r>
              <w:t xml:space="preserve">Momentum</w:t>
            </w:r>
          </w:p>
        </w:tc>
        <w:tc>
          <w:tcPr/>
          <w:p>
            <w:pPr>
              <w:pStyle w:val="Compact"/>
            </w:pPr>
            <w:r>
              <w:t xml:space="preserve">Post-GFC</w:t>
            </w:r>
          </w:p>
        </w:tc>
        <w:tc>
          <w:tcPr/>
          <w:p>
            <w:pPr>
              <w:pStyle w:val="Compact"/>
            </w:pPr>
            <w:r>
              <w:t xml:space="preserve">0.416%</w:t>
            </w:r>
          </w:p>
        </w:tc>
        <w:tc>
          <w:tcPr/>
          <w:p>
            <w:pPr>
              <w:pStyle w:val="Compact"/>
            </w:pPr>
            <w:r>
              <w:t xml:space="preserve">0.87</w:t>
            </w:r>
          </w:p>
        </w:tc>
        <w:tc>
          <w:tcPr/>
          <w:p>
            <w:pPr>
              <w:pStyle w:val="Compact"/>
            </w:pPr>
            <w:r>
              <w:t xml:space="preserve">0.397</w:t>
            </w:r>
          </w:p>
        </w:tc>
        <w:tc>
          <w:tcPr/>
          <w:p>
            <w:pPr>
              <w:pStyle w:val="Compact"/>
            </w:pPr>
            <w:r>
              <w:t xml:space="preserve">+0.018</w:t>
            </w:r>
          </w:p>
        </w:tc>
      </w:tr>
      <w:tr>
        <w:tc>
          <w:tcPr/>
          <w:p>
            <w:pPr>
              <w:pStyle w:val="Compact"/>
            </w:pPr>
            <w:r>
              <w:t xml:space="preserve">Short-Term Reversal</w:t>
            </w:r>
          </w:p>
        </w:tc>
        <w:tc>
          <w:tcPr/>
          <w:p>
            <w:pPr>
              <w:pStyle w:val="Compact"/>
            </w:pPr>
            <w:r>
              <w:t xml:space="preserve">Earlier</w:t>
            </w:r>
          </w:p>
        </w:tc>
        <w:tc>
          <w:tcPr/>
          <w:p>
            <w:pPr>
              <w:pStyle w:val="Compact"/>
            </w:pPr>
            <w:r>
              <w:t xml:space="preserve">1.032%</w:t>
            </w:r>
          </w:p>
        </w:tc>
        <w:tc>
          <w:tcPr/>
          <w:p>
            <w:pPr>
              <w:pStyle w:val="Compact"/>
            </w:pPr>
            <w:r>
              <w:t xml:space="preserve">2.05</w:t>
            </w:r>
          </w:p>
        </w:tc>
        <w:tc>
          <w:tcPr/>
          <w:p>
            <w:pPr>
              <w:pStyle w:val="Compact"/>
            </w:pPr>
            <w:r>
              <w:t xml:space="preserve">0.055</w:t>
            </w:r>
          </w:p>
        </w:tc>
        <w:tc>
          <w:tcPr/>
          <w:p>
            <w:pPr>
              <w:pStyle w:val="Compact"/>
            </w:pPr>
            <w:r>
              <w:t xml:space="preserve">+0.030</w:t>
            </w:r>
          </w:p>
        </w:tc>
      </w:tr>
      <w:tr>
        <w:tc>
          <w:tcPr/>
          <w:p>
            <w:pPr>
              <w:pStyle w:val="Compact"/>
            </w:pPr>
            <w:r>
              <w:t xml:space="preserve">Short-Term Reversal</w:t>
            </w:r>
          </w:p>
        </w:tc>
        <w:tc>
          <w:tcPr/>
          <w:p>
            <w:pPr>
              <w:pStyle w:val="Compact"/>
            </w:pPr>
            <w:r>
              <w:t xml:space="preserve">Post-GFC</w:t>
            </w:r>
          </w:p>
        </w:tc>
        <w:tc>
          <w:tcPr/>
          <w:p>
            <w:pPr>
              <w:pStyle w:val="Compact"/>
            </w:pPr>
            <w:r>
              <w:t xml:space="preserve">0.819%</w:t>
            </w:r>
          </w:p>
        </w:tc>
        <w:tc>
          <w:tcPr/>
          <w:p>
            <w:pPr>
              <w:pStyle w:val="Compact"/>
            </w:pPr>
            <w:r>
              <w:t xml:space="preserve">1.55</w:t>
            </w:r>
          </w:p>
        </w:tc>
        <w:tc>
          <w:tcPr/>
          <w:p>
            <w:pPr>
              <w:pStyle w:val="Compact"/>
            </w:pPr>
            <w:r>
              <w:t xml:space="preserve">0.138</w:t>
            </w:r>
          </w:p>
        </w:tc>
        <w:tc>
          <w:tcPr/>
          <w:p>
            <w:pPr>
              <w:pStyle w:val="Compact"/>
            </w:pPr>
            <w:r>
              <w:t xml:space="preserve">+0.058</w:t>
            </w:r>
          </w:p>
        </w:tc>
      </w:tr>
      <w:tr>
        <w:tc>
          <w:tcPr/>
          <w:p>
            <w:pPr>
              <w:pStyle w:val="Compact"/>
            </w:pPr>
            <w:r>
              <w:t xml:space="preserve">Long-Term Reversal</w:t>
            </w:r>
          </w:p>
        </w:tc>
        <w:tc>
          <w:tcPr/>
          <w:p>
            <w:pPr>
              <w:pStyle w:val="Compact"/>
            </w:pPr>
            <w:r>
              <w:t xml:space="preserve">Earlier</w:t>
            </w:r>
          </w:p>
        </w:tc>
        <w:tc>
          <w:tcPr/>
          <w:p>
            <w:pPr>
              <w:pStyle w:val="Compact"/>
            </w:pPr>
            <w:r>
              <w:t xml:space="preserve">0.078%</w:t>
            </w:r>
          </w:p>
        </w:tc>
        <w:tc>
          <w:tcPr/>
          <w:p>
            <w:pPr>
              <w:pStyle w:val="Compact"/>
            </w:pPr>
            <w:r>
              <w:t xml:space="preserve">0.27</w:t>
            </w:r>
          </w:p>
        </w:tc>
        <w:tc>
          <w:tcPr/>
          <w:p>
            <w:pPr>
              <w:pStyle w:val="Compact"/>
            </w:pPr>
            <w:r>
              <w:t xml:space="preserve">0.790</w:t>
            </w:r>
          </w:p>
        </w:tc>
        <w:tc>
          <w:tcPr/>
          <w:p>
            <w:pPr>
              <w:pStyle w:val="Compact"/>
            </w:pPr>
            <w:r>
              <w:t xml:space="preserve">+0.001</w:t>
            </w:r>
          </w:p>
        </w:tc>
      </w:tr>
      <w:tr>
        <w:tc>
          <w:tcPr/>
          <w:p>
            <w:pPr>
              <w:pStyle w:val="Compact"/>
            </w:pPr>
            <w:r>
              <w:t xml:space="preserve">Long-Term Reversal</w:t>
            </w:r>
          </w:p>
        </w:tc>
        <w:tc>
          <w:tcPr/>
          <w:p>
            <w:pPr>
              <w:pStyle w:val="Compact"/>
            </w:pPr>
            <w:r>
              <w:t xml:space="preserve">Post-GFC</w:t>
            </w:r>
          </w:p>
        </w:tc>
        <w:tc>
          <w:tcPr/>
          <w:p>
            <w:pPr>
              <w:pStyle w:val="Compact"/>
            </w:pPr>
            <w:r>
              <w:t xml:space="preserve">-0.254%</w:t>
            </w:r>
          </w:p>
        </w:tc>
        <w:tc>
          <w:tcPr/>
          <w:p>
            <w:pPr>
              <w:pStyle w:val="Compact"/>
            </w:pPr>
            <w:r>
              <w:t xml:space="preserve">-2.13</w:t>
            </w:r>
          </w:p>
        </w:tc>
        <w:tc>
          <w:tcPr/>
          <w:p>
            <w:pPr>
              <w:pStyle w:val="Compact"/>
            </w:pPr>
            <w:r>
              <w:t xml:space="preserve">0.046</w:t>
            </w:r>
          </w:p>
        </w:tc>
        <w:tc>
          <w:tcPr/>
          <w:p>
            <w:pPr>
              <w:pStyle w:val="Compact"/>
            </w:pPr>
            <w:r>
              <w:t xml:space="preserve">+0.140</w:t>
            </w:r>
          </w:p>
        </w:tc>
      </w:tr>
      <w:tr>
        <w:tc>
          <w:tcPr/>
          <w:p>
            <w:pPr>
              <w:pStyle w:val="Compact"/>
            </w:pPr>
            <w:r>
              <w:t xml:space="preserve">Accruals</w:t>
            </w:r>
          </w:p>
        </w:tc>
        <w:tc>
          <w:tcPr/>
          <w:p>
            <w:pPr>
              <w:pStyle w:val="Compact"/>
            </w:pPr>
            <w:r>
              <w:t xml:space="preserve">Earlier</w:t>
            </w:r>
          </w:p>
        </w:tc>
        <w:tc>
          <w:tcPr/>
          <w:p>
            <w:pPr>
              <w:pStyle w:val="Compact"/>
            </w:pPr>
            <w:r>
              <w:t xml:space="preserve">0.404%</w:t>
            </w:r>
          </w:p>
        </w:tc>
        <w:tc>
          <w:tcPr/>
          <w:p>
            <w:pPr>
              <w:pStyle w:val="Compact"/>
            </w:pPr>
            <w:r>
              <w:t xml:space="preserve">1.11</w:t>
            </w:r>
          </w:p>
        </w:tc>
        <w:tc>
          <w:tcPr/>
          <w:p>
            <w:pPr>
              <w:pStyle w:val="Compact"/>
            </w:pPr>
            <w:r>
              <w:t xml:space="preserve">0.280</w:t>
            </w:r>
          </w:p>
        </w:tc>
        <w:tc>
          <w:tcPr/>
          <w:p>
            <w:pPr>
              <w:pStyle w:val="Compact"/>
            </w:pPr>
            <w:r>
              <w:t xml:space="preserve">+0.017</w:t>
            </w:r>
          </w:p>
        </w:tc>
      </w:tr>
      <w:tr>
        <w:tc>
          <w:tcPr/>
          <w:p>
            <w:pPr>
              <w:pStyle w:val="Compact"/>
            </w:pPr>
            <w:r>
              <w:t xml:space="preserve">Accruals</w:t>
            </w:r>
          </w:p>
        </w:tc>
        <w:tc>
          <w:tcPr/>
          <w:p>
            <w:pPr>
              <w:pStyle w:val="Compact"/>
            </w:pPr>
            <w:r>
              <w:t xml:space="preserve">Post-GFC</w:t>
            </w:r>
          </w:p>
        </w:tc>
        <w:tc>
          <w:tcPr/>
          <w:p>
            <w:pPr>
              <w:pStyle w:val="Compact"/>
            </w:pPr>
            <w:r>
              <w:t xml:space="preserve">-0.126%</w:t>
            </w:r>
          </w:p>
        </w:tc>
        <w:tc>
          <w:tcPr/>
          <w:p>
            <w:pPr>
              <w:pStyle w:val="Compact"/>
            </w:pPr>
            <w:r>
              <w:t xml:space="preserve">-0.37</w:t>
            </w:r>
          </w:p>
        </w:tc>
        <w:tc>
          <w:tcPr/>
          <w:p>
            <w:pPr>
              <w:pStyle w:val="Compact"/>
            </w:pPr>
            <w:r>
              <w:t xml:space="preserve">0.716</w:t>
            </w:r>
          </w:p>
        </w:tc>
        <w:tc>
          <w:tcPr/>
          <w:p>
            <w:pPr>
              <w:pStyle w:val="Compact"/>
            </w:pPr>
            <w:r>
              <w:t xml:space="preserve">+0.004</w:t>
            </w:r>
          </w:p>
        </w:tc>
      </w:tr>
      <w:tr>
        <w:tc>
          <w:tcPr/>
          <w:p>
            <w:pPr>
              <w:pStyle w:val="Compact"/>
            </w:pPr>
            <w:r>
              <w:t xml:space="preserve">Market Beta</w:t>
            </w:r>
          </w:p>
        </w:tc>
        <w:tc>
          <w:tcPr/>
          <w:p>
            <w:pPr>
              <w:pStyle w:val="Compact"/>
            </w:pPr>
            <w:r>
              <w:t xml:space="preserve">Earlier</w:t>
            </w:r>
          </w:p>
        </w:tc>
        <w:tc>
          <w:tcPr/>
          <w:p>
            <w:pPr>
              <w:pStyle w:val="Compact"/>
            </w:pPr>
            <w:r>
              <w:t xml:space="preserve">0.625%</w:t>
            </w:r>
          </w:p>
        </w:tc>
        <w:tc>
          <w:tcPr/>
          <w:p>
            <w:pPr>
              <w:pStyle w:val="Compact"/>
            </w:pPr>
            <w:r>
              <w:t xml:space="preserve">2.26</w:t>
            </w:r>
          </w:p>
        </w:tc>
        <w:tc>
          <w:tcPr/>
          <w:p>
            <w:pPr>
              <w:pStyle w:val="Compact"/>
            </w:pPr>
            <w:r>
              <w:t xml:space="preserve">0.036</w:t>
            </w:r>
          </w:p>
        </w:tc>
        <w:tc>
          <w:tcPr/>
          <w:p>
            <w:pPr>
              <w:pStyle w:val="Compact"/>
            </w:pPr>
            <w:r>
              <w:t xml:space="preserve">+0.037</w:t>
            </w:r>
          </w:p>
        </w:tc>
      </w:tr>
      <w:tr>
        <w:tc>
          <w:tcPr/>
          <w:p>
            <w:pPr>
              <w:pStyle w:val="Compact"/>
            </w:pPr>
            <w:r>
              <w:t xml:space="preserve">Market Beta</w:t>
            </w:r>
          </w:p>
        </w:tc>
        <w:tc>
          <w:tcPr/>
          <w:p>
            <w:pPr>
              <w:pStyle w:val="Compact"/>
            </w:pPr>
            <w:r>
              <w:t xml:space="preserve">Post-GFC</w:t>
            </w:r>
          </w:p>
        </w:tc>
        <w:tc>
          <w:tcPr/>
          <w:p>
            <w:pPr>
              <w:pStyle w:val="Compact"/>
            </w:pPr>
            <w:r>
              <w:t xml:space="preserve">-0.695%</w:t>
            </w:r>
          </w:p>
        </w:tc>
        <w:tc>
          <w:tcPr/>
          <w:p>
            <w:pPr>
              <w:pStyle w:val="Compact"/>
            </w:pPr>
            <w:r>
              <w:t xml:space="preserve">-1.59</w:t>
            </w:r>
          </w:p>
        </w:tc>
        <w:tc>
          <w:tcPr/>
          <w:p>
            <w:pPr>
              <w:pStyle w:val="Compact"/>
            </w:pPr>
            <w:r>
              <w:t xml:space="preserve">0.128</w:t>
            </w:r>
          </w:p>
        </w:tc>
        <w:tc>
          <w:tcPr/>
          <w:p>
            <w:pPr>
              <w:pStyle w:val="Compact"/>
            </w:pPr>
            <w:r>
              <w:t xml:space="preserve">+0.052</w:t>
            </w:r>
          </w:p>
        </w:tc>
      </w:tr>
      <w:tr>
        <w:tc>
          <w:tcPr/>
          <w:p>
            <w:pPr>
              <w:pStyle w:val="Compact"/>
            </w:pPr>
            <w:r>
              <w:t xml:space="preserve">Net Share Issues</w:t>
            </w:r>
          </w:p>
        </w:tc>
        <w:tc>
          <w:tcPr/>
          <w:p>
            <w:pPr>
              <w:pStyle w:val="Compact"/>
            </w:pPr>
            <w:r>
              <w:t xml:space="preserve">Earlier</w:t>
            </w:r>
          </w:p>
        </w:tc>
        <w:tc>
          <w:tcPr/>
          <w:p>
            <w:pPr>
              <w:pStyle w:val="Compact"/>
            </w:pPr>
            <w:r>
              <w:t xml:space="preserve">0.151%</w:t>
            </w:r>
          </w:p>
        </w:tc>
        <w:tc>
          <w:tcPr/>
          <w:p>
            <w:pPr>
              <w:pStyle w:val="Compact"/>
            </w:pPr>
            <w:r>
              <w:t xml:space="preserve">0.42</w:t>
            </w:r>
          </w:p>
        </w:tc>
        <w:tc>
          <w:tcPr/>
          <w:p>
            <w:pPr>
              <w:pStyle w:val="Compact"/>
            </w:pPr>
            <w:r>
              <w:t xml:space="preserve">0.676</w:t>
            </w:r>
          </w:p>
        </w:tc>
        <w:tc>
          <w:tcPr/>
          <w:p>
            <w:pPr>
              <w:pStyle w:val="Compact"/>
            </w:pPr>
            <w:r>
              <w:t xml:space="preserve">+0.003</w:t>
            </w:r>
          </w:p>
        </w:tc>
      </w:tr>
      <w:tr>
        <w:tc>
          <w:tcPr/>
          <w:p>
            <w:pPr>
              <w:pStyle w:val="Compact"/>
            </w:pPr>
            <w:r>
              <w:t xml:space="preserve">Net Share Issues</w:t>
            </w:r>
          </w:p>
        </w:tc>
        <w:tc>
          <w:tcPr/>
          <w:p>
            <w:pPr>
              <w:pStyle w:val="Compact"/>
            </w:pPr>
            <w:r>
              <w:t xml:space="preserve">Post-GFC</w:t>
            </w:r>
          </w:p>
        </w:tc>
        <w:tc>
          <w:tcPr/>
          <w:p>
            <w:pPr>
              <w:pStyle w:val="Compact"/>
            </w:pPr>
            <w:r>
              <w:t xml:space="preserve">-0.172%</w:t>
            </w:r>
          </w:p>
        </w:tc>
        <w:tc>
          <w:tcPr/>
          <w:p>
            <w:pPr>
              <w:pStyle w:val="Compact"/>
            </w:pPr>
            <w:r>
              <w:t xml:space="preserve">-0.54</w:t>
            </w:r>
          </w:p>
        </w:tc>
        <w:tc>
          <w:tcPr/>
          <w:p>
            <w:pPr>
              <w:pStyle w:val="Compact"/>
            </w:pPr>
            <w:r>
              <w:t xml:space="preserve">0.599</w:t>
            </w:r>
          </w:p>
        </w:tc>
        <w:tc>
          <w:tcPr/>
          <w:p>
            <w:pPr>
              <w:pStyle w:val="Compact"/>
            </w:pPr>
            <w:r>
              <w:t xml:space="preserve">+0.010</w:t>
            </w:r>
          </w:p>
        </w:tc>
      </w:tr>
      <w:tr>
        <w:tc>
          <w:tcPr/>
          <w:p>
            <w:pPr>
              <w:pStyle w:val="Compact"/>
            </w:pPr>
            <w:r>
              <w:t xml:space="preserve">Variance</w:t>
            </w:r>
          </w:p>
        </w:tc>
        <w:tc>
          <w:tcPr/>
          <w:p>
            <w:pPr>
              <w:pStyle w:val="Compact"/>
            </w:pPr>
            <w:r>
              <w:t xml:space="preserve">Earlier</w:t>
            </w:r>
          </w:p>
        </w:tc>
        <w:tc>
          <w:tcPr/>
          <w:p>
            <w:pPr>
              <w:pStyle w:val="Compact"/>
            </w:pPr>
            <w:r>
              <w:t xml:space="preserve">-0.386%</w:t>
            </w:r>
          </w:p>
        </w:tc>
        <w:tc>
          <w:tcPr/>
          <w:p>
            <w:pPr>
              <w:pStyle w:val="Compact"/>
            </w:pPr>
            <w:r>
              <w:t xml:space="preserve">-0.93</w:t>
            </w:r>
          </w:p>
        </w:tc>
        <w:tc>
          <w:tcPr/>
          <w:p>
            <w:pPr>
              <w:pStyle w:val="Compact"/>
            </w:pPr>
            <w:r>
              <w:t xml:space="preserve">0.364</w:t>
            </w:r>
          </w:p>
        </w:tc>
        <w:tc>
          <w:tcPr/>
          <w:p>
            <w:pPr>
              <w:pStyle w:val="Compact"/>
            </w:pPr>
            <w:r>
              <w:t xml:space="preserve">+0.009</w:t>
            </w:r>
          </w:p>
        </w:tc>
      </w:tr>
      <w:tr>
        <w:tc>
          <w:tcPr/>
          <w:p>
            <w:pPr>
              <w:pStyle w:val="Compact"/>
            </w:pPr>
            <w:r>
              <w:t xml:space="preserve">Variance</w:t>
            </w:r>
          </w:p>
        </w:tc>
        <w:tc>
          <w:tcPr/>
          <w:p>
            <w:pPr>
              <w:pStyle w:val="Compact"/>
            </w:pPr>
            <w:r>
              <w:t xml:space="preserve">Post-GFC</w:t>
            </w:r>
          </w:p>
        </w:tc>
        <w:tc>
          <w:tcPr/>
          <w:p>
            <w:pPr>
              <w:pStyle w:val="Compact"/>
            </w:pPr>
            <w:r>
              <w:t xml:space="preserve">-0.916%</w:t>
            </w:r>
          </w:p>
        </w:tc>
        <w:tc>
          <w:tcPr/>
          <w:p>
            <w:pPr>
              <w:pStyle w:val="Compact"/>
            </w:pPr>
            <w:r>
              <w:t xml:space="preserve">-1.72</w:t>
            </w:r>
          </w:p>
        </w:tc>
        <w:tc>
          <w:tcPr/>
          <w:p>
            <w:pPr>
              <w:pStyle w:val="Compact"/>
            </w:pPr>
            <w:r>
              <w:t xml:space="preserve">0.101</w:t>
            </w:r>
          </w:p>
        </w:tc>
        <w:tc>
          <w:tcPr/>
          <w:p>
            <w:pPr>
              <w:pStyle w:val="Compact"/>
            </w:pPr>
            <w:r>
              <w:t xml:space="preserve">+0.040</w:t>
            </w:r>
          </w:p>
        </w:tc>
      </w:tr>
      <w:tr>
        <w:tc>
          <w:tcPr/>
          <w:p>
            <w:pPr>
              <w:pStyle w:val="Compact"/>
            </w:pPr>
            <w:r>
              <w:t xml:space="preserve">Residual Variance</w:t>
            </w:r>
          </w:p>
        </w:tc>
        <w:tc>
          <w:tcPr/>
          <w:p>
            <w:pPr>
              <w:pStyle w:val="Compact"/>
            </w:pPr>
            <w:r>
              <w:t xml:space="preserve">Earlier</w:t>
            </w:r>
          </w:p>
        </w:tc>
        <w:tc>
          <w:tcPr/>
          <w:p>
            <w:pPr>
              <w:pStyle w:val="Compact"/>
            </w:pPr>
            <w:r>
              <w:t xml:space="preserve">-0.552%</w:t>
            </w:r>
          </w:p>
        </w:tc>
        <w:tc>
          <w:tcPr/>
          <w:p>
            <w:pPr>
              <w:pStyle w:val="Compact"/>
            </w:pPr>
            <w:r>
              <w:t xml:space="preserve">-1.33</w:t>
            </w:r>
          </w:p>
        </w:tc>
        <w:tc>
          <w:tcPr/>
          <w:p>
            <w:pPr>
              <w:pStyle w:val="Compact"/>
            </w:pPr>
            <w:r>
              <w:t xml:space="preserve">0.198</w:t>
            </w:r>
          </w:p>
        </w:tc>
        <w:tc>
          <w:tcPr/>
          <w:p>
            <w:pPr>
              <w:pStyle w:val="Compact"/>
            </w:pPr>
            <w:r>
              <w:t xml:space="preserve">+0.016</w:t>
            </w:r>
          </w:p>
        </w:tc>
      </w:tr>
      <w:tr>
        <w:tc>
          <w:tcPr/>
          <w:p>
            <w:pPr>
              <w:pStyle w:val="Compact"/>
            </w:pPr>
            <w:r>
              <w:t xml:space="preserve">Residual Variance</w:t>
            </w:r>
          </w:p>
        </w:tc>
        <w:tc>
          <w:tcPr/>
          <w:p>
            <w:pPr>
              <w:pStyle w:val="Compact"/>
            </w:pPr>
            <w:r>
              <w:t xml:space="preserve">Post-GFC</w:t>
            </w:r>
          </w:p>
        </w:tc>
        <w:tc>
          <w:tcPr/>
          <w:p>
            <w:pPr>
              <w:pStyle w:val="Compact"/>
            </w:pPr>
            <w:r>
              <w:t xml:space="preserve">-1.345%</w:t>
            </w:r>
          </w:p>
        </w:tc>
        <w:tc>
          <w:tcPr/>
          <w:p>
            <w:pPr>
              <w:pStyle w:val="Compact"/>
            </w:pPr>
            <w:r>
              <w:t xml:space="preserve">-1.68</w:t>
            </w:r>
          </w:p>
        </w:tc>
        <w:tc>
          <w:tcPr/>
          <w:p>
            <w:pPr>
              <w:pStyle w:val="Compact"/>
            </w:pPr>
            <w:r>
              <w:t xml:space="preserve">0.109</w:t>
            </w:r>
          </w:p>
        </w:tc>
        <w:tc>
          <w:tcPr/>
          <w:p>
            <w:pPr>
              <w:pStyle w:val="Compact"/>
            </w:pPr>
            <w:r>
              <w:t xml:space="preserve">+0.040</w:t>
            </w:r>
          </w:p>
        </w:tc>
      </w:tr>
    </w:tbl>
    <w:bookmarkEnd w:id="52"/>
    <w:bookmarkStart w:id="53" w:name="X5a022e0a4b28a12593329168d66b7ff19fea7bf"/>
    <w:p>
      <w:pPr>
        <w:pStyle w:val="Heading3"/>
      </w:pPr>
      <w:r>
        <w:t xml:space="preserve">Appendix Table A2. Specification-8 lambda time-variation diagnostics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Universe</w:t>
            </w:r>
          </w:p>
        </w:tc>
        <w:tc>
          <w:tcPr/>
          <w:p>
            <w:pPr>
              <w:pStyle w:val="Compact"/>
            </w:pPr>
            <w:r>
              <w:t xml:space="preserve">Sample</w:t>
            </w:r>
          </w:p>
        </w:tc>
        <w:tc>
          <w:tcPr/>
          <w:p>
            <w:pPr>
              <w:pStyle w:val="Compact"/>
            </w:pPr>
            <w:r>
              <w:t xml:space="preserve">Factor</w:t>
            </w:r>
          </w:p>
        </w:tc>
        <w:tc>
          <w:tcPr/>
          <w:p>
            <w:pPr>
              <w:pStyle w:val="Compact"/>
            </w:pPr>
            <w:r>
              <w:t xml:space="preserve">Mean</w:t>
            </w:r>
          </w:p>
        </w:tc>
        <w:tc>
          <w:tcPr/>
          <w:p>
            <w:pPr>
              <w:pStyle w:val="Compact"/>
            </w:pPr>
            <w:r>
              <w:t xml:space="preserve">Std. dev.</w:t>
            </w:r>
          </w:p>
        </w:tc>
        <w:tc>
          <w:tcPr/>
          <w:p>
            <w:pPr>
              <w:pStyle w:val="Compact"/>
            </w:pPr>
            <w:r>
              <w:t xml:space="preserve">Share +</w:t>
            </w:r>
          </w:p>
        </w:tc>
        <w:tc>
          <w:tcPr/>
          <w:p>
            <w:pPr>
              <w:pStyle w:val="Compact"/>
            </w:pPr>
            <w:r>
              <w:t xml:space="preserve">Minimum (month)</w:t>
            </w:r>
          </w:p>
        </w:tc>
        <w:tc>
          <w:tcPr/>
          <w:p>
            <w:pPr>
              <w:pStyle w:val="Compact"/>
            </w:pPr>
            <w:r>
              <w:t xml:space="preserve">Maximum (month)</w:t>
            </w:r>
          </w:p>
        </w:tc>
      </w:tr>
      <w:tr>
        <w:tc>
          <w:tcPr/>
          <w:p>
            <w:pPr>
              <w:pStyle w:val="Compact"/>
            </w:pPr>
            <w:r>
              <w:t xml:space="preserve">Combined univariate</w:t>
            </w:r>
          </w:p>
        </w:tc>
        <w:tc>
          <w:tcPr/>
          <w:p>
            <w:pPr>
              <w:pStyle w:val="Compact"/>
            </w:pPr>
            <w:r>
              <w:t xml:space="preserve">Earlier</w:t>
            </w:r>
          </w:p>
        </w:tc>
        <w:tc>
          <w:tcPr/>
          <w:p>
            <w:pPr>
              <w:pStyle w:val="Compact"/>
            </w:pPr>
            <w:r>
              <w:t xml:space="preserve">MKT</w:t>
            </w:r>
          </w:p>
        </w:tc>
        <w:tc>
          <w:tcPr/>
          <w:p>
            <w:pPr>
              <w:pStyle w:val="Compact"/>
            </w:pPr>
            <w:r>
              <w:t xml:space="preserve">-0.061%</w:t>
            </w:r>
          </w:p>
        </w:tc>
        <w:tc>
          <w:tcPr/>
          <w:p>
            <w:pPr>
              <w:pStyle w:val="Compact"/>
            </w:pPr>
            <w:r>
              <w:t xml:space="preserve">4.706%</w:t>
            </w:r>
          </w:p>
        </w:tc>
        <w:tc>
          <w:tcPr/>
          <w:p>
            <w:pPr>
              <w:pStyle w:val="Compact"/>
            </w:pPr>
            <w:r>
              <w:t xml:space="preserve">47.2%</w:t>
            </w:r>
          </w:p>
        </w:tc>
        <w:tc>
          <w:tcPr/>
          <w:p>
            <w:pPr>
              <w:pStyle w:val="Compact"/>
            </w:pPr>
            <w:r>
              <w:t xml:space="preserve">-21.25% (2000-11)</w:t>
            </w:r>
          </w:p>
        </w:tc>
        <w:tc>
          <w:tcPr/>
          <w:p>
            <w:pPr>
              <w:pStyle w:val="Compact"/>
            </w:pPr>
            <w:r>
              <w:t xml:space="preserve">22.06% (2009-04)</w:t>
            </w:r>
          </w:p>
        </w:tc>
      </w:tr>
      <w:tr>
        <w:tc>
          <w:tcPr/>
          <w:p>
            <w:pPr>
              <w:pStyle w:val="Compact"/>
            </w:pPr>
            <w:r>
              <w:t xml:space="preserve">Combined univariate</w:t>
            </w:r>
          </w:p>
        </w:tc>
        <w:tc>
          <w:tcPr/>
          <w:p>
            <w:pPr>
              <w:pStyle w:val="Compact"/>
            </w:pPr>
            <w:r>
              <w:t xml:space="preserve">Earlier</w:t>
            </w:r>
          </w:p>
        </w:tc>
        <w:tc>
          <w:tcPr/>
          <w:p>
            <w:pPr>
              <w:pStyle w:val="Compact"/>
            </w:pPr>
            <w:r>
              <w:t xml:space="preserve">SMB</w:t>
            </w:r>
          </w:p>
        </w:tc>
        <w:tc>
          <w:tcPr/>
          <w:p>
            <w:pPr>
              <w:pStyle w:val="Compact"/>
            </w:pPr>
            <w:r>
              <w:t xml:space="preserve">0.035%</w:t>
            </w:r>
          </w:p>
        </w:tc>
        <w:tc>
          <w:tcPr/>
          <w:p>
            <w:pPr>
              <w:pStyle w:val="Compact"/>
            </w:pPr>
            <w:r>
              <w:t xml:space="preserve">2.923%</w:t>
            </w:r>
          </w:p>
        </w:tc>
        <w:tc>
          <w:tcPr/>
          <w:p>
            <w:pPr>
              <w:pStyle w:val="Compact"/>
            </w:pPr>
            <w:r>
              <w:t xml:space="preserve">49.6%</w:t>
            </w:r>
          </w:p>
        </w:tc>
        <w:tc>
          <w:tcPr/>
          <w:p>
            <w:pPr>
              <w:pStyle w:val="Compact"/>
            </w:pPr>
            <w:r>
              <w:t xml:space="preserve">-9.10% (1978-10)</w:t>
            </w:r>
          </w:p>
        </w:tc>
        <w:tc>
          <w:tcPr/>
          <w:p>
            <w:pPr>
              <w:pStyle w:val="Compact"/>
            </w:pPr>
            <w:r>
              <w:t xml:space="preserve">14.00% (1975-01)</w:t>
            </w:r>
          </w:p>
        </w:tc>
      </w:tr>
      <w:tr>
        <w:tc>
          <w:tcPr/>
          <w:p>
            <w:pPr>
              <w:pStyle w:val="Compact"/>
            </w:pPr>
            <w:r>
              <w:t xml:space="preserve">Combined univariate</w:t>
            </w:r>
          </w:p>
        </w:tc>
        <w:tc>
          <w:tcPr/>
          <w:p>
            <w:pPr>
              <w:pStyle w:val="Compact"/>
            </w:pPr>
            <w:r>
              <w:t xml:space="preserve">Earlier</w:t>
            </w:r>
          </w:p>
        </w:tc>
        <w:tc>
          <w:tcPr/>
          <w:p>
            <w:pPr>
              <w:pStyle w:val="Compact"/>
            </w:pPr>
            <w:r>
              <w:t xml:space="preserve">HML</w:t>
            </w:r>
          </w:p>
        </w:tc>
        <w:tc>
          <w:tcPr/>
          <w:p>
            <w:pPr>
              <w:pStyle w:val="Compact"/>
            </w:pPr>
            <w:r>
              <w:t xml:space="preserve">0.167%</w:t>
            </w:r>
          </w:p>
        </w:tc>
        <w:tc>
          <w:tcPr/>
          <w:p>
            <w:pPr>
              <w:pStyle w:val="Compact"/>
            </w:pPr>
            <w:r>
              <w:t xml:space="preserve">2.737%</w:t>
            </w:r>
          </w:p>
        </w:tc>
        <w:tc>
          <w:tcPr/>
          <w:p>
            <w:pPr>
              <w:pStyle w:val="Compact"/>
            </w:pPr>
            <w:r>
              <w:t xml:space="preserve">50.9%</w:t>
            </w:r>
          </w:p>
        </w:tc>
        <w:tc>
          <w:tcPr/>
          <w:p>
            <w:pPr>
              <w:pStyle w:val="Compact"/>
            </w:pPr>
            <w:r>
              <w:t xml:space="preserve">-12.64% (1974-10)</w:t>
            </w:r>
          </w:p>
        </w:tc>
        <w:tc>
          <w:tcPr/>
          <w:p>
            <w:pPr>
              <w:pStyle w:val="Compact"/>
            </w:pPr>
            <w:r>
              <w:t xml:space="preserve">10.24% (2000-11)</w:t>
            </w:r>
          </w:p>
        </w:tc>
      </w:tr>
      <w:tr>
        <w:tc>
          <w:tcPr/>
          <w:p>
            <w:pPr>
              <w:pStyle w:val="Compact"/>
            </w:pPr>
            <w:r>
              <w:t xml:space="preserve">Combined univariate</w:t>
            </w:r>
          </w:p>
        </w:tc>
        <w:tc>
          <w:tcPr/>
          <w:p>
            <w:pPr>
              <w:pStyle w:val="Compact"/>
            </w:pPr>
            <w:r>
              <w:t xml:space="preserve">Earlier</w:t>
            </w:r>
          </w:p>
        </w:tc>
        <w:tc>
          <w:tcPr/>
          <w:p>
            <w:pPr>
              <w:pStyle w:val="Compact"/>
            </w:pPr>
            <w:r>
              <w:t xml:space="preserve">RMW</w:t>
            </w:r>
          </w:p>
        </w:tc>
        <w:tc>
          <w:tcPr/>
          <w:p>
            <w:pPr>
              <w:pStyle w:val="Compact"/>
            </w:pPr>
            <w:r>
              <w:t xml:space="preserve">0.181%</w:t>
            </w:r>
          </w:p>
        </w:tc>
        <w:tc>
          <w:tcPr/>
          <w:p>
            <w:pPr>
              <w:pStyle w:val="Compact"/>
            </w:pPr>
            <w:r>
              <w:t xml:space="preserve">2.077%</w:t>
            </w:r>
          </w:p>
        </w:tc>
        <w:tc>
          <w:tcPr/>
          <w:p>
            <w:pPr>
              <w:pStyle w:val="Compact"/>
            </w:pPr>
            <w:r>
              <w:t xml:space="preserve">53.6%</w:t>
            </w:r>
          </w:p>
        </w:tc>
        <w:tc>
          <w:tcPr/>
          <w:p>
            <w:pPr>
              <w:pStyle w:val="Compact"/>
            </w:pPr>
            <w:r>
              <w:t xml:space="preserve">-11.53% (2000-02)</w:t>
            </w:r>
          </w:p>
        </w:tc>
        <w:tc>
          <w:tcPr/>
          <w:p>
            <w:pPr>
              <w:pStyle w:val="Compact"/>
            </w:pPr>
            <w:r>
              <w:t xml:space="preserve">11.00% (2000-11)</w:t>
            </w:r>
          </w:p>
        </w:tc>
      </w:tr>
      <w:tr>
        <w:tc>
          <w:tcPr/>
          <w:p>
            <w:pPr>
              <w:pStyle w:val="Compact"/>
            </w:pPr>
            <w:r>
              <w:t xml:space="preserve">Combined univariate</w:t>
            </w:r>
          </w:p>
        </w:tc>
        <w:tc>
          <w:tcPr/>
          <w:p>
            <w:pPr>
              <w:pStyle w:val="Compact"/>
            </w:pPr>
            <w:r>
              <w:t xml:space="preserve">Earlier</w:t>
            </w:r>
          </w:p>
        </w:tc>
        <w:tc>
          <w:tcPr/>
          <w:p>
            <w:pPr>
              <w:pStyle w:val="Compact"/>
            </w:pPr>
            <w:r>
              <w:t xml:space="preserve">CMA</w:t>
            </w:r>
          </w:p>
        </w:tc>
        <w:tc>
          <w:tcPr/>
          <w:p>
            <w:pPr>
              <w:pStyle w:val="Compact"/>
            </w:pPr>
            <w:r>
              <w:t xml:space="preserve">0.098%</w:t>
            </w:r>
          </w:p>
        </w:tc>
        <w:tc>
          <w:tcPr/>
          <w:p>
            <w:pPr>
              <w:pStyle w:val="Compact"/>
            </w:pPr>
            <w:r>
              <w:t xml:space="preserve">1.954%</w:t>
            </w:r>
          </w:p>
        </w:tc>
        <w:tc>
          <w:tcPr/>
          <w:p>
            <w:pPr>
              <w:pStyle w:val="Compact"/>
            </w:pPr>
            <w:r>
              <w:t xml:space="preserve">50.7%</w:t>
            </w:r>
          </w:p>
        </w:tc>
        <w:tc>
          <w:tcPr/>
          <w:p>
            <w:pPr>
              <w:pStyle w:val="Compact"/>
            </w:pPr>
            <w:r>
              <w:t xml:space="preserve">-6.31% (1968-04)</w:t>
            </w:r>
          </w:p>
        </w:tc>
        <w:tc>
          <w:tcPr/>
          <w:p>
            <w:pPr>
              <w:pStyle w:val="Compact"/>
            </w:pPr>
            <w:r>
              <w:t xml:space="preserve">9.00% (2001-02)</w:t>
            </w:r>
          </w:p>
        </w:tc>
      </w:tr>
      <w:tr>
        <w:tc>
          <w:tcPr/>
          <w:p>
            <w:pPr>
              <w:pStyle w:val="Compact"/>
            </w:pPr>
            <w:r>
              <w:t xml:space="preserve">Combined univariate</w:t>
            </w:r>
          </w:p>
        </w:tc>
        <w:tc>
          <w:tcPr/>
          <w:p>
            <w:pPr>
              <w:pStyle w:val="Compact"/>
            </w:pPr>
            <w:r>
              <w:t xml:space="preserve">Post-GFC</w:t>
            </w:r>
          </w:p>
        </w:tc>
        <w:tc>
          <w:tcPr/>
          <w:p>
            <w:pPr>
              <w:pStyle w:val="Compact"/>
            </w:pPr>
            <w:r>
              <w:t xml:space="preserve">MKT</w:t>
            </w:r>
          </w:p>
        </w:tc>
        <w:tc>
          <w:tcPr/>
          <w:p>
            <w:pPr>
              <w:pStyle w:val="Compact"/>
            </w:pPr>
            <w:r>
              <w:t xml:space="preserve">0.426%</w:t>
            </w:r>
          </w:p>
        </w:tc>
        <w:tc>
          <w:tcPr/>
          <w:p>
            <w:pPr>
              <w:pStyle w:val="Compact"/>
            </w:pPr>
            <w:r>
              <w:t xml:space="preserve">4.567%</w:t>
            </w:r>
          </w:p>
        </w:tc>
        <w:tc>
          <w:tcPr/>
          <w:p>
            <w:pPr>
              <w:pStyle w:val="Compact"/>
            </w:pPr>
            <w:r>
              <w:t xml:space="preserve">53.7%</w:t>
            </w:r>
          </w:p>
        </w:tc>
        <w:tc>
          <w:tcPr/>
          <w:p>
            <w:pPr>
              <w:pStyle w:val="Compact"/>
            </w:pPr>
            <w:r>
              <w:t xml:space="preserve">-9.15% (2011-08)</w:t>
            </w:r>
          </w:p>
        </w:tc>
        <w:tc>
          <w:tcPr/>
          <w:p>
            <w:pPr>
              <w:pStyle w:val="Compact"/>
            </w:pPr>
            <w:r>
              <w:t xml:space="preserve">21.48% (2020-04)</w:t>
            </w:r>
          </w:p>
        </w:tc>
      </w:tr>
      <w:tr>
        <w:tc>
          <w:tcPr/>
          <w:p>
            <w:pPr>
              <w:pStyle w:val="Compact"/>
            </w:pPr>
            <w:r>
              <w:t xml:space="preserve">Combined univariate</w:t>
            </w:r>
          </w:p>
        </w:tc>
        <w:tc>
          <w:tcPr/>
          <w:p>
            <w:pPr>
              <w:pStyle w:val="Compact"/>
            </w:pPr>
            <w:r>
              <w:t xml:space="preserve">Post-GFC</w:t>
            </w:r>
          </w:p>
        </w:tc>
        <w:tc>
          <w:tcPr/>
          <w:p>
            <w:pPr>
              <w:pStyle w:val="Compact"/>
            </w:pPr>
            <w:r>
              <w:t xml:space="preserve">SMB</w:t>
            </w:r>
          </w:p>
        </w:tc>
        <w:tc>
          <w:tcPr/>
          <w:p>
            <w:pPr>
              <w:pStyle w:val="Compact"/>
            </w:pPr>
            <w:r>
              <w:t xml:space="preserve">-0.207%</w:t>
            </w:r>
          </w:p>
        </w:tc>
        <w:tc>
          <w:tcPr/>
          <w:p>
            <w:pPr>
              <w:pStyle w:val="Compact"/>
            </w:pPr>
            <w:r>
              <w:t xml:space="preserve">2.828%</w:t>
            </w:r>
          </w:p>
        </w:tc>
        <w:tc>
          <w:tcPr/>
          <w:p>
            <w:pPr>
              <w:pStyle w:val="Compact"/>
            </w:pPr>
            <w:r>
              <w:t xml:space="preserve">44.1%</w:t>
            </w:r>
          </w:p>
        </w:tc>
        <w:tc>
          <w:tcPr/>
          <w:p>
            <w:pPr>
              <w:pStyle w:val="Compact"/>
            </w:pPr>
            <w:r>
              <w:t xml:space="preserve">-13.43% (2020-03)</w:t>
            </w:r>
          </w:p>
        </w:tc>
        <w:tc>
          <w:tcPr/>
          <w:p>
            <w:pPr>
              <w:pStyle w:val="Compact"/>
            </w:pPr>
            <w:r>
              <w:t xml:space="preserve">9.43% (2020-11)</w:t>
            </w:r>
          </w:p>
        </w:tc>
      </w:tr>
      <w:tr>
        <w:tc>
          <w:tcPr/>
          <w:p>
            <w:pPr>
              <w:pStyle w:val="Compact"/>
            </w:pPr>
            <w:r>
              <w:t xml:space="preserve">Combined univariate</w:t>
            </w:r>
          </w:p>
        </w:tc>
        <w:tc>
          <w:tcPr/>
          <w:p>
            <w:pPr>
              <w:pStyle w:val="Compact"/>
            </w:pPr>
            <w:r>
              <w:t xml:space="preserve">Post-GFC</w:t>
            </w:r>
          </w:p>
        </w:tc>
        <w:tc>
          <w:tcPr/>
          <w:p>
            <w:pPr>
              <w:pStyle w:val="Compact"/>
            </w:pPr>
            <w:r>
              <w:t xml:space="preserve">HML</w:t>
            </w:r>
          </w:p>
        </w:tc>
        <w:tc>
          <w:tcPr/>
          <w:p>
            <w:pPr>
              <w:pStyle w:val="Compact"/>
            </w:pPr>
            <w:r>
              <w:t xml:space="preserve">-0.148%</w:t>
            </w:r>
          </w:p>
        </w:tc>
        <w:tc>
          <w:tcPr/>
          <w:p>
            <w:pPr>
              <w:pStyle w:val="Compact"/>
            </w:pPr>
            <w:r>
              <w:t xml:space="preserve">3.512%</w:t>
            </w:r>
          </w:p>
        </w:tc>
        <w:tc>
          <w:tcPr/>
          <w:p>
            <w:pPr>
              <w:pStyle w:val="Compact"/>
            </w:pPr>
            <w:r>
              <w:t xml:space="preserve">43.1%</w:t>
            </w:r>
          </w:p>
        </w:tc>
        <w:tc>
          <w:tcPr/>
          <w:p>
            <w:pPr>
              <w:pStyle w:val="Compact"/>
            </w:pPr>
            <w:r>
              <w:t xml:space="preserve">-17.48% (2020-03)</w:t>
            </w:r>
          </w:p>
        </w:tc>
        <w:tc>
          <w:tcPr/>
          <w:p>
            <w:pPr>
              <w:pStyle w:val="Compact"/>
            </w:pPr>
            <w:r>
              <w:t xml:space="preserve">10.54% (2022-01)</w:t>
            </w:r>
          </w:p>
        </w:tc>
      </w:tr>
      <w:tr>
        <w:tc>
          <w:tcPr/>
          <w:p>
            <w:pPr>
              <w:pStyle w:val="Compact"/>
            </w:pPr>
            <w:r>
              <w:t xml:space="preserve">Combined univariate</w:t>
            </w:r>
          </w:p>
        </w:tc>
        <w:tc>
          <w:tcPr/>
          <w:p>
            <w:pPr>
              <w:pStyle w:val="Compact"/>
            </w:pPr>
            <w:r>
              <w:t xml:space="preserve">Post-GFC</w:t>
            </w:r>
          </w:p>
        </w:tc>
        <w:tc>
          <w:tcPr/>
          <w:p>
            <w:pPr>
              <w:pStyle w:val="Compact"/>
            </w:pPr>
            <w:r>
              <w:t xml:space="preserve">RMW</w:t>
            </w:r>
          </w:p>
        </w:tc>
        <w:tc>
          <w:tcPr/>
          <w:p>
            <w:pPr>
              <w:pStyle w:val="Compact"/>
            </w:pPr>
            <w:r>
              <w:t xml:space="preserve">0.051%</w:t>
            </w:r>
          </w:p>
        </w:tc>
        <w:tc>
          <w:tcPr/>
          <w:p>
            <w:pPr>
              <w:pStyle w:val="Compact"/>
            </w:pPr>
            <w:r>
              <w:t xml:space="preserve">2.029%</w:t>
            </w:r>
          </w:p>
        </w:tc>
        <w:tc>
          <w:tcPr/>
          <w:p>
            <w:pPr>
              <w:pStyle w:val="Compact"/>
            </w:pPr>
            <w:r>
              <w:t xml:space="preserve">47.9%</w:t>
            </w:r>
          </w:p>
        </w:tc>
        <w:tc>
          <w:tcPr/>
          <w:p>
            <w:pPr>
              <w:pStyle w:val="Compact"/>
            </w:pPr>
            <w:r>
              <w:t xml:space="preserve">-6.56% (2023-11)</w:t>
            </w:r>
          </w:p>
        </w:tc>
        <w:tc>
          <w:tcPr/>
          <w:p>
            <w:pPr>
              <w:pStyle w:val="Compact"/>
            </w:pPr>
            <w:r>
              <w:t xml:space="preserve">7.88% (2026-07)</w:t>
            </w:r>
          </w:p>
        </w:tc>
      </w:tr>
      <w:tr>
        <w:tc>
          <w:tcPr/>
          <w:p>
            <w:pPr>
              <w:pStyle w:val="Compact"/>
            </w:pPr>
            <w:r>
              <w:t xml:space="preserve">Combined univariate</w:t>
            </w:r>
          </w:p>
        </w:tc>
        <w:tc>
          <w:tcPr/>
          <w:p>
            <w:pPr>
              <w:pStyle w:val="Compact"/>
            </w:pPr>
            <w:r>
              <w:t xml:space="preserve">Post-GFC</w:t>
            </w:r>
          </w:p>
        </w:tc>
        <w:tc>
          <w:tcPr/>
          <w:p>
            <w:pPr>
              <w:pStyle w:val="Compact"/>
            </w:pPr>
            <w:r>
              <w:t xml:space="preserve">CMA</w:t>
            </w:r>
          </w:p>
        </w:tc>
        <w:tc>
          <w:tcPr/>
          <w:p>
            <w:pPr>
              <w:pStyle w:val="Compact"/>
            </w:pPr>
            <w:r>
              <w:t xml:space="preserve">-0.097%</w:t>
            </w:r>
          </w:p>
        </w:tc>
        <w:tc>
          <w:tcPr/>
          <w:p>
            <w:pPr>
              <w:pStyle w:val="Compact"/>
            </w:pPr>
            <w:r>
              <w:t xml:space="preserve">2.143%</w:t>
            </w:r>
          </w:p>
        </w:tc>
        <w:tc>
          <w:tcPr/>
          <w:p>
            <w:pPr>
              <w:pStyle w:val="Compact"/>
            </w:pPr>
            <w:r>
              <w:t xml:space="preserve">44.1%</w:t>
            </w:r>
          </w:p>
        </w:tc>
        <w:tc>
          <w:tcPr/>
          <w:p>
            <w:pPr>
              <w:pStyle w:val="Compact"/>
            </w:pPr>
            <w:r>
              <w:t xml:space="preserve">-7.37% (2023-01)</w:t>
            </w:r>
          </w:p>
        </w:tc>
        <w:tc>
          <w:tcPr/>
          <w:p>
            <w:pPr>
              <w:pStyle w:val="Compact"/>
            </w:pPr>
            <w:r>
              <w:t xml:space="preserve">9.91% (2022-01)</w:t>
            </w:r>
          </w:p>
        </w:tc>
      </w:tr>
      <w:tr>
        <w:tc>
          <w:tcPr/>
          <w:p>
            <w:pPr>
              <w:pStyle w:val="Compact"/>
            </w:pPr>
            <w:r>
              <w:t xml:space="preserve">49 industries</w:t>
            </w:r>
          </w:p>
        </w:tc>
        <w:tc>
          <w:tcPr/>
          <w:p>
            <w:pPr>
              <w:pStyle w:val="Compact"/>
            </w:pPr>
            <w:r>
              <w:t xml:space="preserve">Earlier</w:t>
            </w:r>
          </w:p>
        </w:tc>
        <w:tc>
          <w:tcPr/>
          <w:p>
            <w:pPr>
              <w:pStyle w:val="Compact"/>
            </w:pPr>
            <w:r>
              <w:t xml:space="preserve">MKT</w:t>
            </w:r>
          </w:p>
        </w:tc>
        <w:tc>
          <w:tcPr/>
          <w:p>
            <w:pPr>
              <w:pStyle w:val="Compact"/>
            </w:pPr>
            <w:r>
              <w:t xml:space="preserve">0.002%</w:t>
            </w:r>
          </w:p>
        </w:tc>
        <w:tc>
          <w:tcPr/>
          <w:p>
            <w:pPr>
              <w:pStyle w:val="Compact"/>
            </w:pPr>
            <w:r>
              <w:t xml:space="preserve">4.845%</w:t>
            </w:r>
          </w:p>
        </w:tc>
        <w:tc>
          <w:tcPr/>
          <w:p>
            <w:pPr>
              <w:pStyle w:val="Compact"/>
            </w:pPr>
            <w:r>
              <w:t xml:space="preserve">48.5%</w:t>
            </w:r>
          </w:p>
        </w:tc>
        <w:tc>
          <w:tcPr/>
          <w:p>
            <w:pPr>
              <w:pStyle w:val="Compact"/>
            </w:pPr>
            <w:r>
              <w:t xml:space="preserve">-16.15% (1998-08)</w:t>
            </w:r>
          </w:p>
        </w:tc>
        <w:tc>
          <w:tcPr/>
          <w:p>
            <w:pPr>
              <w:pStyle w:val="Compact"/>
            </w:pPr>
            <w:r>
              <w:t xml:space="preserve">33.15% (2009-04)</w:t>
            </w:r>
          </w:p>
        </w:tc>
      </w:tr>
      <w:tr>
        <w:tc>
          <w:tcPr/>
          <w:p>
            <w:pPr>
              <w:pStyle w:val="Compact"/>
            </w:pPr>
            <w:r>
              <w:t xml:space="preserve">49 industries</w:t>
            </w:r>
          </w:p>
        </w:tc>
        <w:tc>
          <w:tcPr/>
          <w:p>
            <w:pPr>
              <w:pStyle w:val="Compact"/>
            </w:pPr>
            <w:r>
              <w:t xml:space="preserve">Earlier</w:t>
            </w:r>
          </w:p>
        </w:tc>
        <w:tc>
          <w:tcPr/>
          <w:p>
            <w:pPr>
              <w:pStyle w:val="Compact"/>
            </w:pPr>
            <w:r>
              <w:t xml:space="preserve">SMB</w:t>
            </w:r>
          </w:p>
        </w:tc>
        <w:tc>
          <w:tcPr/>
          <w:p>
            <w:pPr>
              <w:pStyle w:val="Compact"/>
            </w:pPr>
            <w:r>
              <w:t xml:space="preserve">-0.057%</w:t>
            </w:r>
          </w:p>
        </w:tc>
        <w:tc>
          <w:tcPr/>
          <w:p>
            <w:pPr>
              <w:pStyle w:val="Compact"/>
            </w:pPr>
            <w:r>
              <w:t xml:space="preserve">2.919%</w:t>
            </w:r>
          </w:p>
        </w:tc>
        <w:tc>
          <w:tcPr/>
          <w:p>
            <w:pPr>
              <w:pStyle w:val="Compact"/>
            </w:pPr>
            <w:r>
              <w:t xml:space="preserve">47.8%</w:t>
            </w:r>
          </w:p>
        </w:tc>
        <w:tc>
          <w:tcPr/>
          <w:p>
            <w:pPr>
              <w:pStyle w:val="Compact"/>
            </w:pPr>
            <w:r>
              <w:t xml:space="preserve">-12.52% (1999-10)</w:t>
            </w:r>
          </w:p>
        </w:tc>
        <w:tc>
          <w:tcPr/>
          <w:p>
            <w:pPr>
              <w:pStyle w:val="Compact"/>
            </w:pPr>
            <w:r>
              <w:t xml:space="preserve">10.98% (1975-01)</w:t>
            </w:r>
          </w:p>
        </w:tc>
      </w:tr>
      <w:tr>
        <w:tc>
          <w:tcPr/>
          <w:p>
            <w:pPr>
              <w:pStyle w:val="Compact"/>
            </w:pPr>
            <w:r>
              <w:t xml:space="preserve">49 industries</w:t>
            </w:r>
          </w:p>
        </w:tc>
        <w:tc>
          <w:tcPr/>
          <w:p>
            <w:pPr>
              <w:pStyle w:val="Compact"/>
            </w:pPr>
            <w:r>
              <w:t xml:space="preserve">Earlier</w:t>
            </w:r>
          </w:p>
        </w:tc>
        <w:tc>
          <w:tcPr/>
          <w:p>
            <w:pPr>
              <w:pStyle w:val="Compact"/>
            </w:pPr>
            <w:r>
              <w:t xml:space="preserve">HML</w:t>
            </w:r>
          </w:p>
        </w:tc>
        <w:tc>
          <w:tcPr/>
          <w:p>
            <w:pPr>
              <w:pStyle w:val="Compact"/>
            </w:pPr>
            <w:r>
              <w:t xml:space="preserve">0.238%</w:t>
            </w:r>
          </w:p>
        </w:tc>
        <w:tc>
          <w:tcPr/>
          <w:p>
            <w:pPr>
              <w:pStyle w:val="Compact"/>
            </w:pPr>
            <w:r>
              <w:t xml:space="preserve">2.783%</w:t>
            </w:r>
          </w:p>
        </w:tc>
        <w:tc>
          <w:tcPr/>
          <w:p>
            <w:pPr>
              <w:pStyle w:val="Compact"/>
            </w:pPr>
            <w:r>
              <w:t xml:space="preserve">53.2%</w:t>
            </w:r>
          </w:p>
        </w:tc>
        <w:tc>
          <w:tcPr/>
          <w:p>
            <w:pPr>
              <w:pStyle w:val="Compact"/>
            </w:pPr>
            <w:r>
              <w:t xml:space="preserve">-12.36% (1970-09)</w:t>
            </w:r>
          </w:p>
        </w:tc>
        <w:tc>
          <w:tcPr/>
          <w:p>
            <w:pPr>
              <w:pStyle w:val="Compact"/>
            </w:pPr>
            <w:r>
              <w:t xml:space="preserve">15.41% (2009-04)</w:t>
            </w:r>
          </w:p>
        </w:tc>
      </w:tr>
      <w:tr>
        <w:tc>
          <w:tcPr/>
          <w:p>
            <w:pPr>
              <w:pStyle w:val="Compact"/>
            </w:pPr>
            <w:r>
              <w:t xml:space="preserve">49 industries</w:t>
            </w:r>
          </w:p>
        </w:tc>
        <w:tc>
          <w:tcPr/>
          <w:p>
            <w:pPr>
              <w:pStyle w:val="Compact"/>
            </w:pPr>
            <w:r>
              <w:t xml:space="preserve">Earlier</w:t>
            </w:r>
          </w:p>
        </w:tc>
        <w:tc>
          <w:tcPr/>
          <w:p>
            <w:pPr>
              <w:pStyle w:val="Compact"/>
            </w:pPr>
            <w:r>
              <w:t xml:space="preserve">RMW</w:t>
            </w:r>
          </w:p>
        </w:tc>
        <w:tc>
          <w:tcPr/>
          <w:p>
            <w:pPr>
              <w:pStyle w:val="Compact"/>
            </w:pPr>
            <w:r>
              <w:t xml:space="preserve">0.068%</w:t>
            </w:r>
          </w:p>
        </w:tc>
        <w:tc>
          <w:tcPr/>
          <w:p>
            <w:pPr>
              <w:pStyle w:val="Compact"/>
            </w:pPr>
            <w:r>
              <w:t xml:space="preserve">2.175%</w:t>
            </w:r>
          </w:p>
        </w:tc>
        <w:tc>
          <w:tcPr/>
          <w:p>
            <w:pPr>
              <w:pStyle w:val="Compact"/>
            </w:pPr>
            <w:r>
              <w:t xml:space="preserve">50.7%</w:t>
            </w:r>
          </w:p>
        </w:tc>
        <w:tc>
          <w:tcPr/>
          <w:p>
            <w:pPr>
              <w:pStyle w:val="Compact"/>
            </w:pPr>
            <w:r>
              <w:t xml:space="preserve">-10.34% (1998-09)</w:t>
            </w:r>
          </w:p>
        </w:tc>
        <w:tc>
          <w:tcPr/>
          <w:p>
            <w:pPr>
              <w:pStyle w:val="Compact"/>
            </w:pPr>
            <w:r>
              <w:t xml:space="preserve">9.04% (2000-09)</w:t>
            </w:r>
          </w:p>
        </w:tc>
      </w:tr>
      <w:tr>
        <w:tc>
          <w:tcPr/>
          <w:p>
            <w:pPr>
              <w:pStyle w:val="Compact"/>
            </w:pPr>
            <w:r>
              <w:t xml:space="preserve">49 industries</w:t>
            </w:r>
          </w:p>
        </w:tc>
        <w:tc>
          <w:tcPr/>
          <w:p>
            <w:pPr>
              <w:pStyle w:val="Compact"/>
            </w:pPr>
            <w:r>
              <w:t xml:space="preserve">Earlier</w:t>
            </w:r>
          </w:p>
        </w:tc>
        <w:tc>
          <w:tcPr/>
          <w:p>
            <w:pPr>
              <w:pStyle w:val="Compact"/>
            </w:pPr>
            <w:r>
              <w:t xml:space="preserve">CMA</w:t>
            </w:r>
          </w:p>
        </w:tc>
        <w:tc>
          <w:tcPr/>
          <w:p>
            <w:pPr>
              <w:pStyle w:val="Compact"/>
            </w:pPr>
            <w:r>
              <w:t xml:space="preserve">0.157%</w:t>
            </w:r>
          </w:p>
        </w:tc>
        <w:tc>
          <w:tcPr/>
          <w:p>
            <w:pPr>
              <w:pStyle w:val="Compact"/>
            </w:pPr>
            <w:r>
              <w:t xml:space="preserve">2.121%</w:t>
            </w:r>
          </w:p>
        </w:tc>
        <w:tc>
          <w:tcPr/>
          <w:p>
            <w:pPr>
              <w:pStyle w:val="Compact"/>
            </w:pPr>
            <w:r>
              <w:t xml:space="preserve">54.9%</w:t>
            </w:r>
          </w:p>
        </w:tc>
        <w:tc>
          <w:tcPr/>
          <w:p>
            <w:pPr>
              <w:pStyle w:val="Compact"/>
            </w:pPr>
            <w:r>
              <w:t xml:space="preserve">-9.24% (1970-09)</w:t>
            </w:r>
          </w:p>
        </w:tc>
        <w:tc>
          <w:tcPr/>
          <w:p>
            <w:pPr>
              <w:pStyle w:val="Compact"/>
            </w:pPr>
            <w:r>
              <w:t xml:space="preserve">9.19% (2001-02)</w:t>
            </w:r>
          </w:p>
        </w:tc>
      </w:tr>
      <w:tr>
        <w:tc>
          <w:tcPr/>
          <w:p>
            <w:pPr>
              <w:pStyle w:val="Compact"/>
            </w:pPr>
            <w:r>
              <w:t xml:space="preserve">49 industries</w:t>
            </w:r>
          </w:p>
        </w:tc>
        <w:tc>
          <w:tcPr/>
          <w:p>
            <w:pPr>
              <w:pStyle w:val="Compact"/>
            </w:pPr>
            <w:r>
              <w:t xml:space="preserve">Post-GFC</w:t>
            </w:r>
          </w:p>
        </w:tc>
        <w:tc>
          <w:tcPr/>
          <w:p>
            <w:pPr>
              <w:pStyle w:val="Compact"/>
            </w:pPr>
            <w:r>
              <w:t xml:space="preserve">MKT</w:t>
            </w:r>
          </w:p>
        </w:tc>
        <w:tc>
          <w:tcPr/>
          <w:p>
            <w:pPr>
              <w:pStyle w:val="Compact"/>
            </w:pPr>
            <w:r>
              <w:t xml:space="preserve">0.254%</w:t>
            </w:r>
          </w:p>
        </w:tc>
        <w:tc>
          <w:tcPr/>
          <w:p>
            <w:pPr>
              <w:pStyle w:val="Compact"/>
            </w:pPr>
            <w:r>
              <w:t xml:space="preserve">5.438%</w:t>
            </w:r>
          </w:p>
        </w:tc>
        <w:tc>
          <w:tcPr/>
          <w:p>
            <w:pPr>
              <w:pStyle w:val="Compact"/>
            </w:pPr>
            <w:r>
              <w:t xml:space="preserve">48.4%</w:t>
            </w:r>
          </w:p>
        </w:tc>
        <w:tc>
          <w:tcPr/>
          <w:p>
            <w:pPr>
              <w:pStyle w:val="Compact"/>
            </w:pPr>
            <w:r>
              <w:t xml:space="preserve">-17.04% (2011-09)</w:t>
            </w:r>
          </w:p>
        </w:tc>
        <w:tc>
          <w:tcPr/>
          <w:p>
            <w:pPr>
              <w:pStyle w:val="Compact"/>
            </w:pPr>
            <w:r>
              <w:t xml:space="preserve">17.55% (2020-08)</w:t>
            </w:r>
          </w:p>
        </w:tc>
      </w:tr>
      <w:tr>
        <w:tc>
          <w:tcPr/>
          <w:p>
            <w:pPr>
              <w:pStyle w:val="Compact"/>
            </w:pPr>
            <w:r>
              <w:t xml:space="preserve">49 industries</w:t>
            </w:r>
          </w:p>
        </w:tc>
        <w:tc>
          <w:tcPr/>
          <w:p>
            <w:pPr>
              <w:pStyle w:val="Compact"/>
            </w:pPr>
            <w:r>
              <w:t xml:space="preserve">Post-GFC</w:t>
            </w:r>
          </w:p>
        </w:tc>
        <w:tc>
          <w:tcPr/>
          <w:p>
            <w:pPr>
              <w:pStyle w:val="Compact"/>
            </w:pPr>
            <w:r>
              <w:t xml:space="preserve">SMB</w:t>
            </w:r>
          </w:p>
        </w:tc>
        <w:tc>
          <w:tcPr/>
          <w:p>
            <w:pPr>
              <w:pStyle w:val="Compact"/>
            </w:pPr>
            <w:r>
              <w:t xml:space="preserve">-0.006%</w:t>
            </w:r>
          </w:p>
        </w:tc>
        <w:tc>
          <w:tcPr/>
          <w:p>
            <w:pPr>
              <w:pStyle w:val="Compact"/>
            </w:pPr>
            <w:r>
              <w:t xml:space="preserve">2.850%</w:t>
            </w:r>
          </w:p>
        </w:tc>
        <w:tc>
          <w:tcPr/>
          <w:p>
            <w:pPr>
              <w:pStyle w:val="Compact"/>
            </w:pPr>
            <w:r>
              <w:t xml:space="preserve">53.2%</w:t>
            </w:r>
          </w:p>
        </w:tc>
        <w:tc>
          <w:tcPr/>
          <w:p>
            <w:pPr>
              <w:pStyle w:val="Compact"/>
            </w:pPr>
            <w:r>
              <w:t xml:space="preserve">-10.43% (2020-03)</w:t>
            </w:r>
          </w:p>
        </w:tc>
        <w:tc>
          <w:tcPr/>
          <w:p>
            <w:pPr>
              <w:pStyle w:val="Compact"/>
            </w:pPr>
            <w:r>
              <w:t xml:space="preserve">7.98% (2024-07)</w:t>
            </w:r>
          </w:p>
        </w:tc>
      </w:tr>
      <w:tr>
        <w:tc>
          <w:tcPr/>
          <w:p>
            <w:pPr>
              <w:pStyle w:val="Compact"/>
            </w:pPr>
            <w:r>
              <w:t xml:space="preserve">49 industries</w:t>
            </w:r>
          </w:p>
        </w:tc>
        <w:tc>
          <w:tcPr/>
          <w:p>
            <w:pPr>
              <w:pStyle w:val="Compact"/>
            </w:pPr>
            <w:r>
              <w:t xml:space="preserve">Post-GFC</w:t>
            </w:r>
          </w:p>
        </w:tc>
        <w:tc>
          <w:tcPr/>
          <w:p>
            <w:pPr>
              <w:pStyle w:val="Compact"/>
            </w:pPr>
            <w:r>
              <w:t xml:space="preserve">HML</w:t>
            </w:r>
          </w:p>
        </w:tc>
        <w:tc>
          <w:tcPr/>
          <w:p>
            <w:pPr>
              <w:pStyle w:val="Compact"/>
            </w:pPr>
            <w:r>
              <w:t xml:space="preserve">0.238%</w:t>
            </w:r>
          </w:p>
        </w:tc>
        <w:tc>
          <w:tcPr/>
          <w:p>
            <w:pPr>
              <w:pStyle w:val="Compact"/>
            </w:pPr>
            <w:r>
              <w:t xml:space="preserve">3.394%</w:t>
            </w:r>
          </w:p>
        </w:tc>
        <w:tc>
          <w:tcPr/>
          <w:p>
            <w:pPr>
              <w:pStyle w:val="Compact"/>
            </w:pPr>
            <w:r>
              <w:t xml:space="preserve">51.1%</w:t>
            </w:r>
          </w:p>
        </w:tc>
        <w:tc>
          <w:tcPr/>
          <w:p>
            <w:pPr>
              <w:pStyle w:val="Compact"/>
            </w:pPr>
            <w:r>
              <w:t xml:space="preserve">-7.94% (2020-03)</w:t>
            </w:r>
          </w:p>
        </w:tc>
        <w:tc>
          <w:tcPr/>
          <w:p>
            <w:pPr>
              <w:pStyle w:val="Compact"/>
            </w:pPr>
            <w:r>
              <w:t xml:space="preserve">12.68% (2022-02)</w:t>
            </w:r>
          </w:p>
        </w:tc>
      </w:tr>
      <w:tr>
        <w:tc>
          <w:tcPr/>
          <w:p>
            <w:pPr>
              <w:pStyle w:val="Compact"/>
            </w:pPr>
            <w:r>
              <w:t xml:space="preserve">49 industries</w:t>
            </w:r>
          </w:p>
        </w:tc>
        <w:tc>
          <w:tcPr/>
          <w:p>
            <w:pPr>
              <w:pStyle w:val="Compact"/>
            </w:pPr>
            <w:r>
              <w:t xml:space="preserve">Post-GFC</w:t>
            </w:r>
          </w:p>
        </w:tc>
        <w:tc>
          <w:tcPr/>
          <w:p>
            <w:pPr>
              <w:pStyle w:val="Compact"/>
            </w:pPr>
            <w:r>
              <w:t xml:space="preserve">RMW</w:t>
            </w:r>
          </w:p>
        </w:tc>
        <w:tc>
          <w:tcPr/>
          <w:p>
            <w:pPr>
              <w:pStyle w:val="Compact"/>
            </w:pPr>
            <w:r>
              <w:t xml:space="preserve">0.135%</w:t>
            </w:r>
          </w:p>
        </w:tc>
        <w:tc>
          <w:tcPr/>
          <w:p>
            <w:pPr>
              <w:pStyle w:val="Compact"/>
            </w:pPr>
            <w:r>
              <w:t xml:space="preserve">2.218%</w:t>
            </w:r>
          </w:p>
        </w:tc>
        <w:tc>
          <w:tcPr/>
          <w:p>
            <w:pPr>
              <w:pStyle w:val="Compact"/>
            </w:pPr>
            <w:r>
              <w:t xml:space="preserve">48.9%</w:t>
            </w:r>
          </w:p>
        </w:tc>
        <w:tc>
          <w:tcPr/>
          <w:p>
            <w:pPr>
              <w:pStyle w:val="Compact"/>
            </w:pPr>
            <w:r>
              <w:t xml:space="preserve">-7.34% (2024-11)</w:t>
            </w:r>
          </w:p>
        </w:tc>
        <w:tc>
          <w:tcPr/>
          <w:p>
            <w:pPr>
              <w:pStyle w:val="Compact"/>
            </w:pPr>
            <w:r>
              <w:t xml:space="preserve">9.56% (2026-07)</w:t>
            </w:r>
          </w:p>
        </w:tc>
      </w:tr>
      <w:tr>
        <w:tc>
          <w:tcPr/>
          <w:p>
            <w:pPr>
              <w:pStyle w:val="Compact"/>
            </w:pPr>
            <w:r>
              <w:t xml:space="preserve">49 industries</w:t>
            </w:r>
          </w:p>
        </w:tc>
        <w:tc>
          <w:tcPr/>
          <w:p>
            <w:pPr>
              <w:pStyle w:val="Compact"/>
            </w:pPr>
            <w:r>
              <w:t xml:space="preserve">Post-GFC</w:t>
            </w:r>
          </w:p>
        </w:tc>
        <w:tc>
          <w:tcPr/>
          <w:p>
            <w:pPr>
              <w:pStyle w:val="Compact"/>
            </w:pPr>
            <w:r>
              <w:t xml:space="preserve">CMA</w:t>
            </w:r>
          </w:p>
        </w:tc>
        <w:tc>
          <w:tcPr/>
          <w:p>
            <w:pPr>
              <w:pStyle w:val="Compact"/>
            </w:pPr>
            <w:r>
              <w:t xml:space="preserve">0.005%</w:t>
            </w:r>
          </w:p>
        </w:tc>
        <w:tc>
          <w:tcPr/>
          <w:p>
            <w:pPr>
              <w:pStyle w:val="Compact"/>
            </w:pPr>
            <w:r>
              <w:t xml:space="preserve">2.426%</w:t>
            </w:r>
          </w:p>
        </w:tc>
        <w:tc>
          <w:tcPr/>
          <w:p>
            <w:pPr>
              <w:pStyle w:val="Compact"/>
            </w:pPr>
            <w:r>
              <w:t xml:space="preserve">48.4%</w:t>
            </w:r>
          </w:p>
        </w:tc>
        <w:tc>
          <w:tcPr/>
          <w:p>
            <w:pPr>
              <w:pStyle w:val="Compact"/>
            </w:pPr>
            <w:r>
              <w:t xml:space="preserve">-7.18% (2026-08)</w:t>
            </w:r>
          </w:p>
        </w:tc>
        <w:tc>
          <w:tcPr/>
          <w:p>
            <w:pPr>
              <w:pStyle w:val="Compact"/>
            </w:pPr>
            <w:r>
              <w:t xml:space="preserve">7.59% (2022-02)</w:t>
            </w:r>
          </w:p>
        </w:tc>
      </w:tr>
    </w:tbl>
    <w:bookmarkEnd w:id="53"/>
    <w:bookmarkStart w:id="59" w:name="artifact-references"/>
    <w:p>
      <w:pPr>
        <w:pStyle w:val="Heading3"/>
      </w:pPr>
      <w:r>
        <w:t xml:space="preserve">Artifact references</w:t>
      </w:r>
    </w:p>
    <w:p>
      <w:pPr>
        <w:pStyle w:val="Compact"/>
        <w:numPr>
          <w:ilvl w:val="0"/>
          <w:numId w:val="1002"/>
        </w:numPr>
      </w:pPr>
      <w:r>
        <w:t xml:space="preserve">Additional two-pass plots for all eleven families:</w:t>
      </w:r>
      <w:r>
        <w:t xml:space="preserve"> </w:t>
      </w:r>
      <w:hyperlink r:id="rId54">
        <w:r>
          <w:rPr>
            <w:rStyle w:val="VerbatimChar"/>
          </w:rPr>
          <w:t xml:space="preserve">results/figures/two_pass/</w:t>
        </w:r>
      </w:hyperlink>
    </w:p>
    <w:p>
      <w:pPr>
        <w:pStyle w:val="Compact"/>
        <w:numPr>
          <w:ilvl w:val="0"/>
          <w:numId w:val="1002"/>
        </w:numPr>
      </w:pPr>
      <w:r>
        <w:t xml:space="preserve">Individual specification-8 lambda plots:</w:t>
      </w:r>
      <w:r>
        <w:t xml:space="preserve"> </w:t>
      </w:r>
      <w:hyperlink r:id="rId55">
        <w:r>
          <w:rPr>
            <w:rStyle w:val="VerbatimChar"/>
          </w:rPr>
          <w:t xml:space="preserve">results/figures/fama_macbeth/</w:t>
        </w:r>
      </w:hyperlink>
    </w:p>
    <w:p>
      <w:pPr>
        <w:pStyle w:val="Compact"/>
        <w:numPr>
          <w:ilvl w:val="0"/>
          <w:numId w:val="1002"/>
        </w:numPr>
      </w:pPr>
      <w:r>
        <w:t xml:space="preserve">Alpha and alpha-t grids for CAPM, FF3, and FF5:</w:t>
      </w:r>
      <w:r>
        <w:t xml:space="preserve"> </w:t>
      </w:r>
      <w:hyperlink r:id="rId56">
        <w:r>
          <w:rPr>
            <w:rStyle w:val="VerbatimChar"/>
          </w:rPr>
          <w:t xml:space="preserve">results/figures/time_series/</w:t>
        </w:r>
      </w:hyperlink>
    </w:p>
    <w:p>
      <w:pPr>
        <w:pStyle w:val="Compact"/>
        <w:numPr>
          <w:ilvl w:val="0"/>
          <w:numId w:val="1002"/>
        </w:numPr>
      </w:pPr>
      <w:r>
        <w:t xml:space="preserve">Full report-ready structured tables:</w:t>
      </w:r>
      <w:r>
        <w:t xml:space="preserve"> </w:t>
      </w:r>
      <w:hyperlink r:id="rId57">
        <w:r>
          <w:rPr>
            <w:rStyle w:val="VerbatimChar"/>
          </w:rPr>
          <w:t xml:space="preserve">tables/</w:t>
        </w:r>
      </w:hyperlink>
    </w:p>
    <w:p>
      <w:pPr>
        <w:pStyle w:val="Compact"/>
        <w:numPr>
          <w:ilvl w:val="0"/>
          <w:numId w:val="1002"/>
        </w:numPr>
      </w:pPr>
      <w:r>
        <w:t xml:space="preserve">Audited result inventory and source hashes:</w:t>
      </w:r>
      <w:r>
        <w:t xml:space="preserve"> </w:t>
      </w:r>
      <w:hyperlink r:id="rId58">
        <w:r>
          <w:rPr>
            <w:rStyle w:val="VerbatimChar"/>
          </w:rPr>
          <w:t xml:space="preserve">production_manifest.json</w:t>
        </w:r>
      </w:hyperlink>
    </w:p>
    <w:p>
      <w:pPr>
        <w:pStyle w:val="FirstParagraph"/>
      </w:pPr>
      <w:r>
        <w:t xml:space="preserve">The selected GRS family is</w:t>
      </w:r>
      <w:r>
        <w:t xml:space="preserve"> </w:t>
      </w:r>
      <w:r>
        <w:rPr>
          <w:rStyle w:val="VerbatimChar"/>
        </w:rPr>
        <w:t xml:space="preserve">size_momentum</w:t>
      </w:r>
      <w:r>
        <w:t xml:space="preserve">. Headline samples are July 1963–December 2010 and January 2011–August 2026; effective FM return samples are July 1966–December 2010 and January 2011–August 2026.</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5" Target="media/rId15.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hyperlink" Id="rId58" Target="../production_manifest.json" TargetMode="External" /><Relationship Type="http://schemas.openxmlformats.org/officeDocument/2006/relationships/hyperlink" Id="rId29" Target="../results/fama_macbeth/monthly_lambdas/all.csv" TargetMode="External" /><Relationship Type="http://schemas.openxmlformats.org/officeDocument/2006/relationships/hyperlink" Id="rId55" Target="../results/figures/fama_macbeth/" TargetMode="External" /><Relationship Type="http://schemas.openxmlformats.org/officeDocument/2006/relationships/hyperlink" Id="rId56" Target="../results/figures/time_series/" TargetMode="External" /><Relationship Type="http://schemas.openxmlformats.org/officeDocument/2006/relationships/hyperlink" Id="rId54" Target="../results/figures/two_pass/" TargetMode="External" /><Relationship Type="http://schemas.openxmlformats.org/officeDocument/2006/relationships/hyperlink" Id="rId18" Target="../results/two_pass/pricing_errors.csv" TargetMode="External" /><Relationship Type="http://schemas.openxmlformats.org/officeDocument/2006/relationships/hyperlink" Id="rId57" Target="../tables/" TargetMode="External" /><Relationship Type="http://schemas.openxmlformats.org/officeDocument/2006/relationships/hyperlink" Id="rId9" Target="../tables/cross_family_fit.csv" TargetMode="External" /><Relationship Type="http://schemas.openxmlformats.org/officeDocument/2006/relationships/hyperlink" Id="rId10" Target="../tables/fama_macbeth_summary.csv" TargetMode="External" /><Relationship Type="http://schemas.openxmlformats.org/officeDocument/2006/relationships/hyperlink" Id="rId12" Target="../tables/grs_results.csv" TargetMode="External" /><Relationship Type="http://schemas.openxmlformats.org/officeDocument/2006/relationships/hyperlink" Id="rId21" Target="../tables/hml_diagnostics.csv" TargetMode="External" /><Relationship Type="http://schemas.openxmlformats.org/officeDocument/2006/relationships/hyperlink" Id="rId11" Target="../tables/lambda_time_variation.csv" TargetMode="External" /></Relationships>
</file>

<file path=word/_rels/footnotes.xml.rels><?xml version="1.0" encoding="UTF-8"?><Relationships xmlns="http://schemas.openxmlformats.org/package/2006/relationships"><Relationship Type="http://schemas.openxmlformats.org/officeDocument/2006/relationships/hyperlink" Id="rId58" Target="../production_manifest.json" TargetMode="External" /><Relationship Type="http://schemas.openxmlformats.org/officeDocument/2006/relationships/hyperlink" Id="rId29" Target="../results/fama_macbeth/monthly_lambdas/all.csv" TargetMode="External" /><Relationship Type="http://schemas.openxmlformats.org/officeDocument/2006/relationships/hyperlink" Id="rId55" Target="../results/figures/fama_macbeth/" TargetMode="External" /><Relationship Type="http://schemas.openxmlformats.org/officeDocument/2006/relationships/hyperlink" Id="rId56" Target="../results/figures/time_series/" TargetMode="External" /><Relationship Type="http://schemas.openxmlformats.org/officeDocument/2006/relationships/hyperlink" Id="rId54" Target="../results/figures/two_pass/" TargetMode="External" /><Relationship Type="http://schemas.openxmlformats.org/officeDocument/2006/relationships/hyperlink" Id="rId18" Target="../results/two_pass/pricing_errors.csv" TargetMode="External" /><Relationship Type="http://schemas.openxmlformats.org/officeDocument/2006/relationships/hyperlink" Id="rId57" Target="../tables/" TargetMode="External" /><Relationship Type="http://schemas.openxmlformats.org/officeDocument/2006/relationships/hyperlink" Id="rId9" Target="../tables/cross_family_fit.csv" TargetMode="External" /><Relationship Type="http://schemas.openxmlformats.org/officeDocument/2006/relationships/hyperlink" Id="rId10" Target="../tables/fama_macbeth_summary.csv" TargetMode="External" /><Relationship Type="http://schemas.openxmlformats.org/officeDocument/2006/relationships/hyperlink" Id="rId12" Target="../tables/grs_results.csv" TargetMode="External" /><Relationship Type="http://schemas.openxmlformats.org/officeDocument/2006/relationships/hyperlink" Id="rId21" Target="../tables/hml_diagnostics.csv" TargetMode="External" /><Relationship Type="http://schemas.openxmlformats.org/officeDocument/2006/relationships/hyperlink" Id="rId11" Target="../tables/lambda_time_variation.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2026-09-27T17:59:27Z</dcterms:created>
  <dcterms:modified xsi:type="dcterms:W3CDTF">2026-09-27T17:59:27Z</dcterms:modified>
</cp:coreProperties>
</file>

<file path=docProps/custom.xml><?xml version="1.0" encoding="utf-8"?>
<Properties xmlns="http://schemas.openxmlformats.org/officeDocument/2006/custom-properties" xmlns:vt="http://schemas.openxmlformats.org/officeDocument/2006/docPropsVTypes"/>
</file>