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900"/>
      </w:pPr>
    </w:p>
    <w:p>
      <w:pPr>
        <w:pStyle w:val="Title"/>
        <w:jc w:val="center"/>
      </w:pPr>
      <w:r>
        <w:t>时空裂缝游戏设计文档</w:t>
      </w:r>
    </w:p>
    <w:p>
      <w:pPr>
        <w:pStyle w:val="Subtitle"/>
        <w:jc w:val="center"/>
      </w:pPr>
      <w:r>
        <w:t>悠长人生模拟与知识养成系统设计</w:t>
      </w:r>
    </w:p>
    <w:p>
      <w:pPr>
        <w:spacing w:before="800"/>
        <w:jc w:val="center"/>
      </w:pPr>
      <w:r>
        <w:rPr>
          <w:rFonts w:ascii="Microsoft YaHei" w:hAnsi="Microsoft YaHei" w:eastAsia="Microsoft YaHei"/>
          <w:b w:val="0"/>
          <w:color w:val="666666"/>
          <w:sz w:val="20"/>
        </w:rPr>
        <w:t>版本 1.0    2026 年 9 月</w:t>
      </w:r>
    </w:p>
    <w:p>
      <w:pPr>
        <w:spacing w:before="2600"/>
      </w:pPr>
      <w:r>
        <w:rPr>
          <w:rFonts w:ascii="Microsoft YaHei" w:hAnsi="Microsoft YaHei" w:eastAsia="Microsoft YaHei"/>
          <w:b/>
          <w:color w:val="000000"/>
          <w:sz w:val="22"/>
        </w:rPr>
        <w:t>设计结论</w:t>
      </w:r>
    </w:p>
    <w:p>
      <w:r>
        <w:t>游戏以一周排程与自动演化为基础，通过可缩放的时间层级承载 5 年、60 年和 500 年三种人生长度。图书馆与真实学制大学构成核心内容网络，关系、旅行、住宅和庄园围绕知识与时间选择共同发展。</w:t>
      </w:r>
    </w:p>
    <w:p>
      <w:r>
        <w:br w:type="page"/>
      </w:r>
    </w:p>
    <w:p>
      <w:pPr>
        <w:pStyle w:val="Heading1"/>
      </w:pPr>
      <w:r>
        <w:t>文档目的</w:t>
      </w:r>
    </w:p>
    <w:p>
      <w:r>
        <w:t>本文面向后续策划、叙事、程序、界面和内容制作，定义首个完整版本的体验目标、系统边界、主要数据结构和验收方法。文档优先解决长时间尺度下的重复感、自动演化的可解释性，以及知识内容如何真正影响生活。</w:t>
      </w:r>
    </w:p>
    <w:p>
      <w:pPr>
        <w:pStyle w:val="Heading2"/>
      </w:pPr>
      <w:r>
        <w:t>核心原则</w:t>
      </w:r>
    </w:p>
    <w:p>
      <w:pPr>
        <w:pStyle w:val="ListBullet"/>
      </w:pPr>
      <w:r>
        <w:t>舒适不等于没有取舍。基础生活永远安全，高品质生活仍需规划。</w:t>
      </w:r>
    </w:p>
    <w:p>
      <w:pPr>
        <w:pStyle w:val="ListBullet"/>
      </w:pPr>
      <w:r>
        <w:t>时间必须可以放大与缩小。玩家既能记住一个具体星期，也能跨过数十年。</w:t>
      </w:r>
    </w:p>
    <w:p>
      <w:pPr>
        <w:pStyle w:val="ListBullet"/>
      </w:pPr>
      <w:r>
        <w:t>知识不是单一数值。书籍、课程、研究、旅行与谈话共享可组合的知识节点。</w:t>
      </w:r>
    </w:p>
    <w:p>
      <w:pPr>
        <w:pStyle w:val="ListBullet"/>
      </w:pPr>
      <w:r>
        <w:t>自动演化尊重计划。回合中不弹窗打断，重要事情在结算后进入待处理事项。</w:t>
      </w:r>
    </w:p>
    <w:p>
      <w:pPr>
        <w:pStyle w:val="ListBullet"/>
      </w:pPr>
      <w:r>
        <w:t>没有标准人生。结局档案描述玩家成为什么样的人，而不是给出唯一总分。</w:t>
      </w:r>
    </w:p>
    <w:p>
      <w:pPr>
        <w:pStyle w:val="Heading2"/>
      </w:pPr>
      <w:r>
        <w:t>目录</w:t>
      </w:r>
    </w:p>
    <w:p>
      <w:r>
        <w:t>1. 产品定位与世界观</w:t>
      </w:r>
    </w:p>
    <w:p>
      <w:r>
        <w:t>2. 核心循环与时间系统</w:t>
      </w:r>
    </w:p>
    <w:p>
      <w:r>
        <w:t>3. 角色状态与正向奖励</w:t>
      </w:r>
    </w:p>
    <w:p>
      <w:r>
        <w:t>4. 图书馆与知识网络</w:t>
      </w:r>
    </w:p>
    <w:p>
      <w:r>
        <w:t>5. 大学与研究</w:t>
      </w:r>
    </w:p>
    <w:p>
      <w:r>
        <w:t>6. 小镇关系与事件</w:t>
      </w:r>
    </w:p>
    <w:p>
      <w:r>
        <w:t>7. 旅行与生活活动</w:t>
      </w:r>
    </w:p>
    <w:p>
      <w:r>
        <w:t>8. 住宅庄园与服务人员</w:t>
      </w:r>
    </w:p>
    <w:p>
      <w:r>
        <w:t>9. 自动演化与报告</w:t>
      </w:r>
    </w:p>
    <w:p>
      <w:r>
        <w:t>10. 界面与信息架构</w:t>
      </w:r>
    </w:p>
    <w:p>
      <w:r>
        <w:t>11. 内容数据与技术接口</w:t>
      </w:r>
    </w:p>
    <w:p>
      <w:r>
        <w:t>12. 平衡测试与制作路线</w:t>
      </w:r>
    </w:p>
    <w:p>
      <w:r>
        <w:br w:type="page"/>
      </w:r>
    </w:p>
    <w:p>
      <w:pPr>
        <w:pStyle w:val="Heading1"/>
      </w:pPr>
      <w:r>
        <w:t>1 产品定位与世界观</w:t>
      </w:r>
    </w:p>
    <w:p>
      <w:pPr>
        <w:pStyle w:val="Heading2"/>
      </w:pPr>
      <w:r>
        <w:t>1.1 玩家幻想</w:t>
      </w:r>
    </w:p>
    <w:p>
      <w:r>
        <w:t>玩家掉进时空裂缝后，被时空管理局安置在保护区边缘的小镇。管理局无法立刻送玩家回去，却能提供土地、最低生活保障和当代最先进的游戏设备。玩家由此获得一段罕见的、可以不靠打工维生的漫长时间，用于学习、相识、旅行、照料身体和建设住所。</w:t>
      </w:r>
    </w:p>
    <w:p>
      <w:pPr>
        <w:pStyle w:val="Heading2"/>
      </w:pPr>
      <w:r>
        <w:t>1.2 时间保护区</w:t>
      </w:r>
    </w:p>
    <w:p>
      <w:r>
        <w:t>保护区覆盖小镇、大学和周边土地。居民仍会成长、转变关系和更换人生方向，但生理衰老极慢。建筑、课程、文化与管理局服务按时代章节缓慢变化，使长期关系得以保留，同时让 500 年档仍有历史感。保护区之外的旅行地点可处于不同时间流速，具体差异只用于叙事和内容解锁，不制造永久错过。</w:t>
      </w:r>
    </w:p>
    <w:p>
      <w:pPr>
        <w:pStyle w:val="Heading2"/>
      </w:pPr>
      <w:r>
        <w:t>1.3 三种局长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22"/>
        <w:gridCol w:w="2422"/>
        <w:gridCol w:w="2422"/>
        <w:gridCol w:w="2422"/>
      </w:tblGrid>
      <w:tr>
        <w:tc>
          <w:tcPr>
            <w:tcW w:type="dxa" w:w="1247"/>
            <w:shd w:fill="243A5A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模式</w:t>
            </w:r>
          </w:p>
        </w:tc>
        <w:tc>
          <w:tcPr>
            <w:tcW w:type="dxa" w:w="1417"/>
            <w:shd w:fill="243A5A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主要粒度</w:t>
            </w:r>
          </w:p>
        </w:tc>
        <w:tc>
          <w:tcPr>
            <w:tcW w:type="dxa" w:w="3628"/>
            <w:shd w:fill="243A5A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体验重点</w:t>
            </w:r>
          </w:p>
        </w:tc>
        <w:tc>
          <w:tcPr>
            <w:tcW w:type="dxa" w:w="3118"/>
            <w:shd w:fill="243A5A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推荐目标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短期 5 年</w:t>
            </w:r>
          </w:p>
        </w:tc>
        <w:tc>
          <w:tcPr>
            <w:tcW w:type="dxa" w:w="141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周和学期</w:t>
            </w:r>
          </w:p>
        </w:tc>
        <w:tc>
          <w:tcPr>
            <w:tcW w:type="dxa" w:w="3628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细致生活、第一段重要关系、一个学位</w:t>
            </w:r>
          </w:p>
        </w:tc>
        <w:tc>
          <w:tcPr>
            <w:tcW w:type="dxa" w:w="3118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完成 1 个学位或专精，建立稳定生活</w:t>
            </w:r>
          </w:p>
        </w:tc>
      </w:tr>
      <w:tr>
        <w:tc>
          <w:tcPr>
            <w:tcW w:type="dxa" w:w="1247"/>
            <w:vAlign w:val="center"/>
            <w:shd w:fill="EEF3F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中期 60 年</w:t>
            </w:r>
          </w:p>
        </w:tc>
        <w:tc>
          <w:tcPr>
            <w:tcW w:type="dxa" w:w="1417"/>
            <w:vAlign w:val="center"/>
            <w:shd w:fill="EEF3F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周、月、年</w:t>
            </w:r>
          </w:p>
        </w:tc>
        <w:tc>
          <w:tcPr>
            <w:tcW w:type="dxa" w:w="3628"/>
            <w:vAlign w:val="center"/>
            <w:shd w:fill="EEF3F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多阶段学习、关系深化、住宅成长</w:t>
            </w:r>
          </w:p>
        </w:tc>
        <w:tc>
          <w:tcPr>
            <w:tcW w:type="dxa" w:w="3118"/>
            <w:vAlign w:val="center"/>
            <w:shd w:fill="EEF3F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完成多领域学习与一项代表性成果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长期 500 年</w:t>
            </w:r>
          </w:p>
        </w:tc>
        <w:tc>
          <w:tcPr>
            <w:tcW w:type="dxa" w:w="141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周至十年</w:t>
            </w:r>
          </w:p>
        </w:tc>
        <w:tc>
          <w:tcPr>
            <w:tcW w:type="dxa" w:w="3628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时代观察、终身研究、庄园与编年史</w:t>
            </w:r>
          </w:p>
        </w:tc>
        <w:tc>
          <w:tcPr>
            <w:tcW w:type="dxa" w:w="3118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形成独特知识谱系和跨时代人生档案</w:t>
            </w:r>
          </w:p>
        </w:tc>
      </w:tr>
    </w:tbl>
    <w:p>
      <w:pPr>
        <w:spacing w:after="0"/>
      </w:pPr>
    </w:p>
    <w:p>
      <w:pPr>
        <w:pStyle w:val="Heading2"/>
      </w:pPr>
      <w:r>
        <w:t>1.4 成功与结束</w:t>
      </w:r>
    </w:p>
    <w:p>
      <w:r>
        <w:t>期限结束即完成本局。没有提前逃离路线，也没有继续无限游玩的默认选项。系统生成可回看的个人编年史，以知识、关系、健康、旅行、居所、贡献和生活风格七个维度描述经历，并选出十个关键决定与十个平凡时刻。称号用于概括，不用于排名。</w:t>
      </w:r>
    </w:p>
    <w:p>
      <w:pPr>
        <w:pStyle w:val="Heading1"/>
      </w:pPr>
      <w:r>
        <w:t>2 核心循环与时间系统</w:t>
      </w:r>
    </w:p>
    <w:p>
      <w:pPr>
        <w:pStyle w:val="Heading2"/>
      </w:pPr>
      <w:r>
        <w:t>2.1 一周回合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30"/>
        <w:gridCol w:w="3230"/>
        <w:gridCol w:w="3230"/>
      </w:tblGrid>
      <w:tr>
        <w:tc>
          <w:tcPr>
            <w:tcW w:type="dxa" w:w="1417"/>
            <w:shd w:fill="243A5A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3572"/>
            <w:shd w:fill="243A5A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玩家行为</w:t>
            </w:r>
          </w:p>
        </w:tc>
        <w:tc>
          <w:tcPr>
            <w:tcW w:type="dxa" w:w="4422"/>
            <w:shd w:fill="243A5A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系统行为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回顾</w:t>
            </w:r>
          </w:p>
        </w:tc>
        <w:tc>
          <w:tcPr>
            <w:tcW w:type="dxa" w:w="3572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阅读上周报告和待处理事项</w:t>
            </w:r>
          </w:p>
        </w:tc>
        <w:tc>
          <w:tcPr>
            <w:tcW w:type="dxa" w:w="4422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呈现结果、风险与新机会</w:t>
            </w:r>
          </w:p>
        </w:tc>
      </w:tr>
      <w:tr>
        <w:tc>
          <w:tcPr>
            <w:tcW w:type="dxa" w:w="1417"/>
            <w:vAlign w:val="center"/>
            <w:shd w:fill="EEF3F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规划</w:t>
            </w:r>
          </w:p>
        </w:tc>
        <w:tc>
          <w:tcPr>
            <w:tcW w:type="dxa" w:w="3572"/>
            <w:vAlign w:val="center"/>
            <w:shd w:fill="EEF3F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为 21 个时段安排活动，可套用模板</w:t>
            </w:r>
          </w:p>
        </w:tc>
        <w:tc>
          <w:tcPr>
            <w:tcW w:type="dxa" w:w="4422"/>
            <w:vAlign w:val="center"/>
            <w:shd w:fill="EEF3F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预测费用、疲劳和冲突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开始</w:t>
            </w:r>
          </w:p>
        </w:tc>
        <w:tc>
          <w:tcPr>
            <w:tcW w:type="dxa" w:w="3572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确认计划与可接受的自动替代规则</w:t>
            </w:r>
          </w:p>
        </w:tc>
        <w:tc>
          <w:tcPr>
            <w:tcW w:type="dxa" w:w="4422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锁定本周输入</w:t>
            </w:r>
          </w:p>
        </w:tc>
      </w:tr>
      <w:tr>
        <w:tc>
          <w:tcPr>
            <w:tcW w:type="dxa" w:w="1417"/>
            <w:vAlign w:val="center"/>
            <w:shd w:fill="EEF3F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演化</w:t>
            </w:r>
          </w:p>
        </w:tc>
        <w:tc>
          <w:tcPr>
            <w:tcW w:type="dxa" w:w="3572"/>
            <w:vAlign w:val="center"/>
            <w:shd w:fill="EEF3F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观看或快速跳过日志</w:t>
            </w:r>
          </w:p>
        </w:tc>
        <w:tc>
          <w:tcPr>
            <w:tcW w:type="dxa" w:w="4422"/>
            <w:vAlign w:val="center"/>
            <w:shd w:fill="EEF3F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按日模拟，无中途弹窗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结算</w:t>
            </w:r>
          </w:p>
        </w:tc>
        <w:tc>
          <w:tcPr>
            <w:tcW w:type="dxa" w:w="3572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整理新线索并决定下周回应</w:t>
            </w:r>
          </w:p>
        </w:tc>
        <w:tc>
          <w:tcPr>
            <w:tcW w:type="dxa" w:w="4422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更新状态、资金、关系和项目</w:t>
            </w:r>
          </w:p>
        </w:tc>
      </w:tr>
    </w:tbl>
    <w:p>
      <w:pPr>
        <w:spacing w:after="0"/>
      </w:pPr>
    </w:p>
    <w:p>
      <w:pPr>
        <w:pStyle w:val="Heading2"/>
      </w:pPr>
      <w:r>
        <w:t>2.2 时间缩放</w:t>
      </w:r>
    </w:p>
    <w:p>
      <w:r>
        <w:t>玩家始终可以按周生活。只有当计划连续稳定、没有紧急待办且资源预测安全时，系统才允许托管更长周期。长期托管复用日程模板，并在每个内部周进行完整模拟；界面只压缩展示。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22"/>
        <w:gridCol w:w="2422"/>
        <w:gridCol w:w="2422"/>
        <w:gridCol w:w="2422"/>
      </w:tblGrid>
      <w:tr>
        <w:tc>
          <w:tcPr>
            <w:tcW w:type="dxa" w:w="1134"/>
            <w:shd w:fill="243A5A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跨度</w:t>
            </w:r>
          </w:p>
        </w:tc>
        <w:tc>
          <w:tcPr>
            <w:tcW w:type="dxa" w:w="2438"/>
            <w:shd w:fill="243A5A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解锁条件</w:t>
            </w:r>
          </w:p>
        </w:tc>
        <w:tc>
          <w:tcPr>
            <w:tcW w:type="dxa" w:w="3685"/>
            <w:shd w:fill="243A5A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报告内容</w:t>
            </w:r>
          </w:p>
        </w:tc>
        <w:tc>
          <w:tcPr>
            <w:tcW w:type="dxa" w:w="2835"/>
            <w:shd w:fill="243A5A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中止条件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1 周</w:t>
            </w:r>
          </w:p>
        </w:tc>
        <w:tc>
          <w:tcPr>
            <w:tcW w:type="dxa" w:w="2438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默认</w:t>
            </w:r>
          </w:p>
        </w:tc>
        <w:tc>
          <w:tcPr>
            <w:tcW w:type="dxa" w:w="3685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逐日摘要与完整收支</w:t>
            </w:r>
          </w:p>
        </w:tc>
        <w:tc>
          <w:tcPr>
            <w:tcW w:type="dxa" w:w="2835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无</w:t>
            </w:r>
          </w:p>
        </w:tc>
      </w:tr>
      <w:tr>
        <w:tc>
          <w:tcPr>
            <w:tcW w:type="dxa" w:w="1134"/>
            <w:vAlign w:val="center"/>
            <w:shd w:fill="EEF3F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1 月</w:t>
            </w:r>
          </w:p>
        </w:tc>
        <w:tc>
          <w:tcPr>
            <w:tcW w:type="dxa" w:w="2438"/>
            <w:vAlign w:val="center"/>
            <w:shd w:fill="EEF3F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连续 4 周稳定</w:t>
            </w:r>
          </w:p>
        </w:tc>
        <w:tc>
          <w:tcPr>
            <w:tcW w:type="dxa" w:w="3685"/>
            <w:vAlign w:val="center"/>
            <w:shd w:fill="EEF3F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每周亮点和月度趋势</w:t>
            </w:r>
          </w:p>
        </w:tc>
        <w:tc>
          <w:tcPr>
            <w:tcW w:type="dxa" w:w="2835"/>
            <w:vAlign w:val="center"/>
            <w:shd w:fill="EEF3F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计划不可执行或健康进入危险区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1 学期</w:t>
            </w:r>
          </w:p>
        </w:tc>
        <w:tc>
          <w:tcPr>
            <w:tcW w:type="dxa" w:w="2438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已注册课程并建立模板</w:t>
            </w:r>
          </w:p>
        </w:tc>
        <w:tc>
          <w:tcPr>
            <w:tcW w:type="dxa" w:w="3685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课程节点、关系变化、关键周</w:t>
            </w:r>
          </w:p>
        </w:tc>
        <w:tc>
          <w:tcPr>
            <w:tcW w:type="dxa" w:w="2835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退课风险、重大冲突或资金赤字</w:t>
            </w:r>
          </w:p>
        </w:tc>
      </w:tr>
      <w:tr>
        <w:tc>
          <w:tcPr>
            <w:tcW w:type="dxa" w:w="1134"/>
            <w:vAlign w:val="center"/>
            <w:shd w:fill="EEF3F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1 年</w:t>
            </w:r>
          </w:p>
        </w:tc>
        <w:tc>
          <w:tcPr>
            <w:tcW w:type="dxa" w:w="2438"/>
            <w:vAlign w:val="center"/>
            <w:shd w:fill="EEF3F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完成至少一个稳定季度</w:t>
            </w:r>
          </w:p>
        </w:tc>
        <w:tc>
          <w:tcPr>
            <w:tcW w:type="dxa" w:w="3685"/>
            <w:vAlign w:val="center"/>
            <w:shd w:fill="EEF3F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季度书页和年度总结</w:t>
            </w:r>
          </w:p>
        </w:tc>
        <w:tc>
          <w:tcPr>
            <w:tcW w:type="dxa" w:w="2835"/>
            <w:vAlign w:val="center"/>
            <w:shd w:fill="EEF3F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出现必须由玩家回应的结构性选择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1 至 10 年</w:t>
            </w:r>
          </w:p>
        </w:tc>
        <w:tc>
          <w:tcPr>
            <w:tcW w:type="dxa" w:w="2438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长期档且生活稳定</w:t>
            </w:r>
          </w:p>
        </w:tc>
        <w:tc>
          <w:tcPr>
            <w:tcW w:type="dxa" w:w="3685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年度索引与时代篇章</w:t>
            </w:r>
          </w:p>
        </w:tc>
        <w:tc>
          <w:tcPr>
            <w:tcW w:type="dxa" w:w="2835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规则变化、项目完成或资源无法维持</w:t>
            </w:r>
          </w:p>
        </w:tc>
      </w:tr>
    </w:tbl>
    <w:p>
      <w:pPr>
        <w:spacing w:after="0"/>
      </w:pPr>
    </w:p>
    <w:p>
      <w:pPr>
        <w:pStyle w:val="Heading2"/>
      </w:pPr>
      <w:r>
        <w:t>2.3 行动时长</w:t>
      </w:r>
    </w:p>
    <w:p>
      <w:r>
        <w:t>普通行动占一个时段；睡眠、基础通勤和日常家务由日程底层表示，不占可见卡槽。跨周项目保存累计投入。旅行、住院、闭关阅读等整块活动会覆盖若干天或周，并明确展示被替换的原计划。</w:t>
      </w:r>
    </w:p>
    <w:p>
      <w:pPr>
        <w:pStyle w:val="Heading2"/>
      </w:pPr>
      <w:r>
        <w:t>2.4 不打断原则</w:t>
      </w:r>
    </w:p>
    <w:p>
      <w:r>
        <w:t>演化中产生的邀请、冲突和机会先记录为事件。若它们不威胁基础安全，系统按玩家预设的保守策略处理，并在回合末要求回应。可能导致不可逆损失的事件会使长跨度托管在最近的周末结束，但仍不会在周中弹窗。</w:t>
      </w:r>
    </w:p>
    <w:p>
      <w:pPr>
        <w:pStyle w:val="Heading1"/>
      </w:pPr>
      <w:r>
        <w:t>3 角色状态与正向奖励</w:t>
      </w:r>
    </w:p>
    <w:p>
      <w:pPr>
        <w:pStyle w:val="Heading2"/>
      </w:pPr>
      <w:r>
        <w:t>3.1 可见状态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22"/>
        <w:gridCol w:w="2422"/>
        <w:gridCol w:w="2422"/>
        <w:gridCol w:w="2422"/>
      </w:tblGrid>
      <w:tr>
        <w:tc>
          <w:tcPr>
            <w:tcW w:type="dxa" w:w="1247"/>
            <w:shd w:fill="243A5A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2665"/>
            <w:shd w:fill="243A5A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作用</w:t>
            </w:r>
          </w:p>
        </w:tc>
        <w:tc>
          <w:tcPr>
            <w:tcW w:type="dxa" w:w="2948"/>
            <w:shd w:fill="243A5A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低值后果</w:t>
            </w:r>
          </w:p>
        </w:tc>
        <w:tc>
          <w:tcPr>
            <w:tcW w:type="dxa" w:w="3231"/>
            <w:shd w:fill="243A5A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恢复方式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精力</w:t>
            </w:r>
          </w:p>
        </w:tc>
        <w:tc>
          <w:tcPr>
            <w:tcW w:type="dxa" w:w="2665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决定高强度活动质量</w:t>
            </w:r>
          </w:p>
        </w:tc>
        <w:tc>
          <w:tcPr>
            <w:tcW w:type="dxa" w:w="2948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学习和社交效率下降</w:t>
            </w:r>
          </w:p>
        </w:tc>
        <w:tc>
          <w:tcPr>
            <w:tcW w:type="dxa" w:w="3231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睡眠、休息、减量</w:t>
            </w:r>
          </w:p>
        </w:tc>
      </w:tr>
      <w:tr>
        <w:tc>
          <w:tcPr>
            <w:tcW w:type="dxa" w:w="1247"/>
            <w:vAlign w:val="center"/>
            <w:shd w:fill="EEF3F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健康</w:t>
            </w:r>
          </w:p>
        </w:tc>
        <w:tc>
          <w:tcPr>
            <w:tcW w:type="dxa" w:w="2665"/>
            <w:vAlign w:val="center"/>
            <w:shd w:fill="EEF3F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影响长期承载能力</w:t>
            </w:r>
          </w:p>
        </w:tc>
        <w:tc>
          <w:tcPr>
            <w:tcW w:type="dxa" w:w="2948"/>
            <w:vAlign w:val="center"/>
            <w:shd w:fill="EEF3F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更多恢复时间和医疗支出</w:t>
            </w:r>
          </w:p>
        </w:tc>
        <w:tc>
          <w:tcPr>
            <w:tcW w:type="dxa" w:w="3231"/>
            <w:vAlign w:val="center"/>
            <w:shd w:fill="EEF3F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运动、饮食、治疗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情绪</w:t>
            </w:r>
          </w:p>
        </w:tc>
        <w:tc>
          <w:tcPr>
            <w:tcW w:type="dxa" w:w="2665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影响兴趣与关系表达</w:t>
            </w:r>
          </w:p>
        </w:tc>
        <w:tc>
          <w:tcPr>
            <w:tcW w:type="dxa" w:w="2948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主动活动意愿降低</w:t>
            </w:r>
          </w:p>
        </w:tc>
        <w:tc>
          <w:tcPr>
            <w:tcW w:type="dxa" w:w="3231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休闲、陪伴、环境改善</w:t>
            </w:r>
          </w:p>
        </w:tc>
      </w:tr>
      <w:tr>
        <w:tc>
          <w:tcPr>
            <w:tcW w:type="dxa" w:w="1247"/>
            <w:vAlign w:val="center"/>
            <w:shd w:fill="EEF3F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专注</w:t>
            </w:r>
          </w:p>
        </w:tc>
        <w:tc>
          <w:tcPr>
            <w:tcW w:type="dxa" w:w="2665"/>
            <w:vAlign w:val="center"/>
            <w:shd w:fill="EEF3F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影响阅读、作业和研究</w:t>
            </w:r>
          </w:p>
        </w:tc>
        <w:tc>
          <w:tcPr>
            <w:tcW w:type="dxa" w:w="2948"/>
            <w:vAlign w:val="center"/>
            <w:shd w:fill="EEF3F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深度活动进度下降</w:t>
            </w:r>
          </w:p>
        </w:tc>
        <w:tc>
          <w:tcPr>
            <w:tcW w:type="dxa" w:w="3231"/>
            <w:vAlign w:val="center"/>
            <w:shd w:fill="EEF3F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规律、安静空间、助理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资金</w:t>
            </w:r>
          </w:p>
        </w:tc>
        <w:tc>
          <w:tcPr>
            <w:tcW w:type="dxa" w:w="2665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支付品质消费和长期资产</w:t>
            </w:r>
          </w:p>
        </w:tc>
        <w:tc>
          <w:tcPr>
            <w:tcW w:type="dxa" w:w="2948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取消非必要服务</w:t>
            </w:r>
          </w:p>
        </w:tc>
        <w:tc>
          <w:tcPr>
            <w:tcW w:type="dxa" w:w="3231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成长奖励与降低开支</w:t>
            </w:r>
          </w:p>
        </w:tc>
      </w:tr>
    </w:tbl>
    <w:p>
      <w:pPr>
        <w:spacing w:after="0"/>
      </w:pPr>
    </w:p>
    <w:p>
      <w:pPr>
        <w:pStyle w:val="Heading2"/>
      </w:pPr>
      <w:r>
        <w:t>3.2 资金规则</w:t>
      </w:r>
    </w:p>
    <w:p>
      <w:r>
        <w:t>管理局承担基础住处、基础餐食、必要衣物和医疗，因此资金为生活品质资源，而非生存门槛。正向行为奖励采用里程碑制：首次尝试、小阶段完成、长期坚持、跨领域整合和重大成果依次提高奖励。重复的低难度行为进入递减区，休息一段时间或提升挑战后恢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22"/>
        <w:gridCol w:w="2422"/>
        <w:gridCol w:w="2422"/>
        <w:gridCol w:w="2422"/>
      </w:tblGrid>
      <w:tr>
        <w:tc>
          <w:tcPr>
            <w:tcW w:type="dxa" w:w="1417"/>
            <w:shd w:fill="243A5A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来源</w:t>
            </w:r>
          </w:p>
        </w:tc>
        <w:tc>
          <w:tcPr>
            <w:tcW w:type="dxa" w:w="2494"/>
            <w:shd w:fill="243A5A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小额</w:t>
            </w:r>
          </w:p>
        </w:tc>
        <w:tc>
          <w:tcPr>
            <w:tcW w:type="dxa" w:w="2665"/>
            <w:shd w:fill="243A5A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中额</w:t>
            </w:r>
          </w:p>
        </w:tc>
        <w:tc>
          <w:tcPr>
            <w:tcW w:type="dxa" w:w="3402"/>
            <w:shd w:fill="243A5A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大额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学习</w:t>
            </w:r>
          </w:p>
        </w:tc>
        <w:tc>
          <w:tcPr>
            <w:tcW w:type="dxa" w:w="2494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完成阅读单元</w:t>
            </w:r>
          </w:p>
        </w:tc>
        <w:tc>
          <w:tcPr>
            <w:tcW w:type="dxa" w:w="2665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通过课程或证书</w:t>
            </w:r>
          </w:p>
        </w:tc>
        <w:tc>
          <w:tcPr>
            <w:tcW w:type="dxa" w:w="3402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学位、著作、重要研究</w:t>
            </w:r>
          </w:p>
        </w:tc>
      </w:tr>
      <w:tr>
        <w:tc>
          <w:tcPr>
            <w:tcW w:type="dxa" w:w="1417"/>
            <w:vAlign w:val="center"/>
            <w:shd w:fill="EEF3F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关系</w:t>
            </w:r>
          </w:p>
        </w:tc>
        <w:tc>
          <w:tcPr>
            <w:tcW w:type="dxa" w:w="2494"/>
            <w:vAlign w:val="center"/>
            <w:shd w:fill="EEF3F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主动认识与守约</w:t>
            </w:r>
          </w:p>
        </w:tc>
        <w:tc>
          <w:tcPr>
            <w:tcW w:type="dxa" w:w="2665"/>
            <w:vAlign w:val="center"/>
            <w:shd w:fill="EEF3F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友情或爱情阶段提升</w:t>
            </w:r>
          </w:p>
        </w:tc>
        <w:tc>
          <w:tcPr>
            <w:tcW w:type="dxa" w:w="3402"/>
            <w:vAlign w:val="center"/>
            <w:shd w:fill="EEF3F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长期共同目标与重大支持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健康</w:t>
            </w:r>
          </w:p>
        </w:tc>
        <w:tc>
          <w:tcPr>
            <w:tcW w:type="dxa" w:w="2494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首次锻炼与规律作息</w:t>
            </w:r>
          </w:p>
        </w:tc>
        <w:tc>
          <w:tcPr>
            <w:tcW w:type="dxa" w:w="2665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持续计划和个人突破</w:t>
            </w:r>
          </w:p>
        </w:tc>
        <w:tc>
          <w:tcPr>
            <w:tcW w:type="dxa" w:w="3402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长期健康成就</w:t>
            </w:r>
          </w:p>
        </w:tc>
      </w:tr>
      <w:tr>
        <w:tc>
          <w:tcPr>
            <w:tcW w:type="dxa" w:w="1417"/>
            <w:vAlign w:val="center"/>
            <w:shd w:fill="EEF3F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探索</w:t>
            </w:r>
          </w:p>
        </w:tc>
        <w:tc>
          <w:tcPr>
            <w:tcW w:type="dxa" w:w="2494"/>
            <w:vAlign w:val="center"/>
            <w:shd w:fill="EEF3F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发现新地点</w:t>
            </w:r>
          </w:p>
        </w:tc>
        <w:tc>
          <w:tcPr>
            <w:tcW w:type="dxa" w:w="2665"/>
            <w:vAlign w:val="center"/>
            <w:shd w:fill="EEF3F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完成主题旅行</w:t>
            </w:r>
          </w:p>
        </w:tc>
        <w:tc>
          <w:tcPr>
            <w:tcW w:type="dxa" w:w="3402"/>
            <w:vAlign w:val="center"/>
            <w:shd w:fill="EEF3F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远征、综合考察与档案贡献</w:t>
            </w:r>
          </w:p>
        </w:tc>
      </w:tr>
    </w:tbl>
    <w:p>
      <w:pPr>
        <w:spacing w:after="0"/>
      </w:pPr>
    </w:p>
    <w:p>
      <w:pPr>
        <w:pStyle w:val="Heading2"/>
      </w:pPr>
      <w:r>
        <w:t>3.3 失败状态</w:t>
      </w:r>
    </w:p>
    <w:p>
      <w:r>
        <w:t>游戏不设死亡和永久破产。过度安排会导致效率下降、项目延期、关系失约和强制恢复周；资金不足时先取消订阅、员工班次和奢侈消费，再暂停建设。所有后果均可通过时间和重新规划修复。</w:t>
      </w:r>
    </w:p>
    <w:p>
      <w:pPr>
        <w:pStyle w:val="Heading1"/>
      </w:pPr>
      <w:r>
        <w:t>4 图书馆与知识网络</w:t>
      </w:r>
    </w:p>
    <w:p>
      <w:pPr>
        <w:pStyle w:val="Heading2"/>
      </w:pPr>
      <w:r>
        <w:t>4.1 图书馆定位</w:t>
      </w:r>
    </w:p>
    <w:p>
      <w:r>
        <w:t>图书馆既是地点，也是贯穿整局的检索和规划界面。首版重点在目录、关联和进度，而非提供完整书籍正文。现实书目提供熟悉的知识锚点，原创书目覆盖未来学科、保护区历史和时空理论。</w:t>
      </w:r>
    </w:p>
    <w:p>
      <w:pPr>
        <w:pStyle w:val="Heading2"/>
      </w:pPr>
      <w:r>
        <w:t>4.2 书籍数据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30"/>
        <w:gridCol w:w="3230"/>
        <w:gridCol w:w="3230"/>
      </w:tblGrid>
      <w:tr>
        <w:tc>
          <w:tcPr>
            <w:tcW w:type="dxa" w:w="1701"/>
            <w:shd w:fill="243A5A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4195"/>
            <w:shd w:fill="243A5A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  <w:tc>
          <w:tcPr>
            <w:tcW w:type="dxa" w:w="3515"/>
            <w:shd w:fill="243A5A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示例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基础资料</w:t>
            </w:r>
          </w:p>
        </w:tc>
        <w:tc>
          <w:tcPr>
            <w:tcW w:type="dxa" w:w="4195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标题、作者、时代、来源、语言</w:t>
            </w:r>
          </w:p>
        </w:tc>
        <w:tc>
          <w:tcPr>
            <w:tcW w:type="dxa" w:w="3515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物种起源；现实书目；19 世纪</w:t>
            </w:r>
          </w:p>
        </w:tc>
      </w:tr>
      <w:tr>
        <w:tc>
          <w:tcPr>
            <w:tcW w:type="dxa" w:w="1701"/>
            <w:vAlign w:val="center"/>
            <w:shd w:fill="EEF3F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分类</w:t>
            </w:r>
          </w:p>
        </w:tc>
        <w:tc>
          <w:tcPr>
            <w:tcW w:type="dxa" w:w="4195"/>
            <w:vAlign w:val="center"/>
            <w:shd w:fill="EEF3F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学科、主题和思想标签</w:t>
            </w:r>
          </w:p>
        </w:tc>
        <w:tc>
          <w:tcPr>
            <w:tcW w:type="dxa" w:w="3515"/>
            <w:vAlign w:val="center"/>
            <w:shd w:fill="EEF3F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生物学、演化、证据推理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学习属性</w:t>
            </w:r>
          </w:p>
        </w:tc>
        <w:tc>
          <w:tcPr>
            <w:tcW w:type="dxa" w:w="4195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难度、篇幅、先修节点、推荐课程</w:t>
            </w:r>
          </w:p>
        </w:tc>
        <w:tc>
          <w:tcPr>
            <w:tcW w:type="dxa" w:w="3515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难度 3；需要基础生物学</w:t>
            </w:r>
          </w:p>
        </w:tc>
      </w:tr>
      <w:tr>
        <w:tc>
          <w:tcPr>
            <w:tcW w:type="dxa" w:w="1701"/>
            <w:vAlign w:val="center"/>
            <w:shd w:fill="EEF3F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阅读结构</w:t>
            </w:r>
          </w:p>
        </w:tc>
        <w:tc>
          <w:tcPr>
            <w:tcW w:type="dxa" w:w="4195"/>
            <w:vAlign w:val="center"/>
            <w:shd w:fill="EEF3F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章节单元、当前进度、遗忘曲线</w:t>
            </w:r>
          </w:p>
        </w:tc>
        <w:tc>
          <w:tcPr>
            <w:tcW w:type="dxa" w:w="3515"/>
            <w:vAlign w:val="center"/>
            <w:shd w:fill="EEF3F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12 单元；已完成 5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联动</w:t>
            </w:r>
          </w:p>
        </w:tc>
        <w:tc>
          <w:tcPr>
            <w:tcW w:type="dxa" w:w="4195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产生节点、课程加成、谈话和旅行观察</w:t>
            </w:r>
          </w:p>
        </w:tc>
        <w:tc>
          <w:tcPr>
            <w:tcW w:type="dxa" w:w="3515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解锁自然史观察</w:t>
            </w:r>
          </w:p>
        </w:tc>
      </w:tr>
      <w:tr>
        <w:tc>
          <w:tcPr>
            <w:tcW w:type="dxa" w:w="1701"/>
            <w:vAlign w:val="center"/>
            <w:shd w:fill="EEF3F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个人记录</w:t>
            </w:r>
          </w:p>
        </w:tc>
        <w:tc>
          <w:tcPr>
            <w:tcW w:type="dxa" w:w="4195"/>
            <w:vAlign w:val="center"/>
            <w:shd w:fill="EEF3F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状态、评分、摘记标签、重读次数</w:t>
            </w:r>
          </w:p>
        </w:tc>
        <w:tc>
          <w:tcPr>
            <w:tcW w:type="dxa" w:w="3515"/>
            <w:vAlign w:val="center"/>
            <w:shd w:fill="EEF3F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正在读；标记为启发</w:t>
            </w:r>
          </w:p>
        </w:tc>
      </w:tr>
    </w:tbl>
    <w:p>
      <w:pPr>
        <w:spacing w:after="0"/>
      </w:pPr>
    </w:p>
    <w:p>
      <w:pPr>
        <w:pStyle w:val="Heading2"/>
      </w:pPr>
      <w:r>
        <w:t>4.3 知识节点</w:t>
      </w:r>
    </w:p>
    <w:p>
      <w:r>
        <w:t>每个节点由领域、层级、来源可信度和熟练度组成。读一本书通常只产生若干节点进度；课程负责建立结构，研究负责组合与产出，旅行负责提供具象观察。节点之间形成先修和互证关系。系统不显示庞杂公式，而用“陌生、入门、熟悉、扎实、精通”五级表达。</w:t>
      </w:r>
    </w:p>
    <w:p>
      <w:pPr>
        <w:pStyle w:val="Heading2"/>
      </w:pPr>
      <w:r>
        <w:t>4.4 阅读体验</w:t>
      </w:r>
    </w:p>
    <w:p>
      <w:pPr>
        <w:pStyle w:val="ListBullet"/>
      </w:pPr>
      <w:r>
        <w:t>选书：检索、浏览书架、接受馆员或导师推荐。</w:t>
      </w:r>
    </w:p>
    <w:p>
      <w:pPr>
        <w:pStyle w:val="ListBullet"/>
      </w:pPr>
      <w:r>
        <w:t>计划：选择泛读、精读、重读或专题书单，并估算所需时段。</w:t>
      </w:r>
    </w:p>
    <w:p>
      <w:pPr>
        <w:pStyle w:val="ListBullet"/>
      </w:pPr>
      <w:r>
        <w:t>结算：展示完成单元、理解变化、相关问题和可连接内容。</w:t>
      </w:r>
    </w:p>
    <w:p>
      <w:pPr>
        <w:pStyle w:val="ListBullet"/>
      </w:pPr>
      <w:r>
        <w:t>沉淀：将摘记归入主题；三个以上相关来源可生成个人综述。</w:t>
      </w:r>
    </w:p>
    <w:p>
      <w:pPr>
        <w:pStyle w:val="ListBullet"/>
      </w:pPr>
      <w:r>
        <w:t>应用：课程、研究、谈话和旅行在需要时引用对应节点。</w:t>
      </w:r>
    </w:p>
    <w:p>
      <w:pPr>
        <w:pStyle w:val="Heading2"/>
      </w:pPr>
      <w:r>
        <w:t>4.5 内容边界</w:t>
      </w:r>
    </w:p>
    <w:p>
      <w:r>
        <w:t>现实作品只保存书目信息、非侵权的短介绍和原创机制描述，不复制受版权保护的正文。虚构作品可以提供更长的原创节选，但第一版仍以目录和系统效果为主。争议性主题并列多个观点来源，不把单本书等同于事实。</w:t>
      </w:r>
    </w:p>
    <w:p>
      <w:pPr>
        <w:pStyle w:val="Heading1"/>
      </w:pPr>
      <w:r>
        <w:t>5 大学与研究</w:t>
      </w:r>
    </w:p>
    <w:p>
      <w:pPr>
        <w:pStyle w:val="Heading2"/>
      </w:pPr>
      <w:r>
        <w:t>5.1 学制</w:t>
      </w:r>
    </w:p>
    <w:p>
      <w:r>
        <w:t>大学按学期运行。每门课有固定课时、作业、考试或项目，玩家可选择正式修读或旁听。正式学位要求学分、必修课、选修分布和毕业项目；不设年龄和次数限制。已掌握知识可申请免修，但仍需通过考核。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22"/>
        <w:gridCol w:w="2422"/>
        <w:gridCol w:w="2422"/>
        <w:gridCol w:w="2422"/>
      </w:tblGrid>
      <w:tr>
        <w:tc>
          <w:tcPr>
            <w:tcW w:type="dxa" w:w="1304"/>
            <w:shd w:fill="243A5A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路径</w:t>
            </w:r>
          </w:p>
        </w:tc>
        <w:tc>
          <w:tcPr>
            <w:tcW w:type="dxa" w:w="1701"/>
            <w:shd w:fill="243A5A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承诺</w:t>
            </w:r>
          </w:p>
        </w:tc>
        <w:tc>
          <w:tcPr>
            <w:tcW w:type="dxa" w:w="3798"/>
            <w:shd w:fill="243A5A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产出</w:t>
            </w:r>
          </w:p>
        </w:tc>
        <w:tc>
          <w:tcPr>
            <w:tcW w:type="dxa" w:w="3175"/>
            <w:shd w:fill="243A5A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适用玩家</w:t>
            </w:r>
          </w:p>
        </w:tc>
      </w:tr>
      <w:tr>
        <w:tc>
          <w:tcPr>
            <w:tcW w:type="dxa" w:w="1304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旁听</w:t>
            </w:r>
          </w:p>
        </w:tc>
        <w:tc>
          <w:tcPr>
            <w:tcW w:type="dxa" w:w="1701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低，无学分</w:t>
            </w:r>
          </w:p>
        </w:tc>
        <w:tc>
          <w:tcPr>
            <w:tcW w:type="dxa" w:w="3798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知识节点和导师印象</w:t>
            </w:r>
          </w:p>
        </w:tc>
        <w:tc>
          <w:tcPr>
            <w:tcW w:type="dxa" w:w="3175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探索兴趣</w:t>
            </w:r>
          </w:p>
        </w:tc>
      </w:tr>
      <w:tr>
        <w:tc>
          <w:tcPr>
            <w:tcW w:type="dxa" w:w="1304"/>
            <w:vAlign w:val="center"/>
            <w:shd w:fill="EEF3F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单课</w:t>
            </w:r>
          </w:p>
        </w:tc>
        <w:tc>
          <w:tcPr>
            <w:tcW w:type="dxa" w:w="1701"/>
            <w:vAlign w:val="center"/>
            <w:shd w:fill="EEF3F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一个学期</w:t>
            </w:r>
          </w:p>
        </w:tc>
        <w:tc>
          <w:tcPr>
            <w:tcW w:type="dxa" w:w="3798"/>
            <w:vAlign w:val="center"/>
            <w:shd w:fill="EEF3F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成绩、学分、同学关系</w:t>
            </w:r>
          </w:p>
        </w:tc>
        <w:tc>
          <w:tcPr>
            <w:tcW w:type="dxa" w:w="3175"/>
            <w:vAlign w:val="center"/>
            <w:shd w:fill="EEF3F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补充技能</w:t>
            </w:r>
          </w:p>
        </w:tc>
      </w:tr>
      <w:tr>
        <w:tc>
          <w:tcPr>
            <w:tcW w:type="dxa" w:w="1304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证书</w:t>
            </w:r>
          </w:p>
        </w:tc>
        <w:tc>
          <w:tcPr>
            <w:tcW w:type="dxa" w:w="1701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2 至 6 门课</w:t>
            </w:r>
          </w:p>
        </w:tc>
        <w:tc>
          <w:tcPr>
            <w:tcW w:type="dxa" w:w="3798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结构化专长和奖励</w:t>
            </w:r>
          </w:p>
        </w:tc>
        <w:tc>
          <w:tcPr>
            <w:tcW w:type="dxa" w:w="3175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短期目标</w:t>
            </w:r>
          </w:p>
        </w:tc>
      </w:tr>
      <w:tr>
        <w:tc>
          <w:tcPr>
            <w:tcW w:type="dxa" w:w="1304"/>
            <w:vAlign w:val="center"/>
            <w:shd w:fill="EEF3F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学位</w:t>
            </w:r>
          </w:p>
        </w:tc>
        <w:tc>
          <w:tcPr>
            <w:tcW w:type="dxa" w:w="1701"/>
            <w:vAlign w:val="center"/>
            <w:shd w:fill="EEF3F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多年</w:t>
            </w:r>
          </w:p>
        </w:tc>
        <w:tc>
          <w:tcPr>
            <w:tcW w:type="dxa" w:w="3798"/>
            <w:vAlign w:val="center"/>
            <w:shd w:fill="EEF3F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完整知识骨架、毕业成果</w:t>
            </w:r>
          </w:p>
        </w:tc>
        <w:tc>
          <w:tcPr>
            <w:tcW w:type="dxa" w:w="3175"/>
            <w:vAlign w:val="center"/>
            <w:shd w:fill="EEF3F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核心长期计划</w:t>
            </w:r>
          </w:p>
        </w:tc>
      </w:tr>
      <w:tr>
        <w:tc>
          <w:tcPr>
            <w:tcW w:type="dxa" w:w="1304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研究</w:t>
            </w:r>
          </w:p>
        </w:tc>
        <w:tc>
          <w:tcPr>
            <w:tcW w:type="dxa" w:w="1701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开放期限</w:t>
            </w:r>
          </w:p>
        </w:tc>
        <w:tc>
          <w:tcPr>
            <w:tcW w:type="dxa" w:w="3798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论文、著作、工具或发现</w:t>
            </w:r>
          </w:p>
        </w:tc>
        <w:tc>
          <w:tcPr>
            <w:tcW w:type="dxa" w:w="3175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高阶长期档</w:t>
            </w:r>
          </w:p>
        </w:tc>
      </w:tr>
    </w:tbl>
    <w:p>
      <w:pPr>
        <w:spacing w:after="0"/>
      </w:pPr>
    </w:p>
    <w:p>
      <w:pPr>
        <w:pStyle w:val="Heading2"/>
      </w:pPr>
      <w:r>
        <w:t>5.2 学科结构</w:t>
      </w:r>
    </w:p>
    <w:p>
      <w:r>
        <w:t>首轮内容覆盖文学与语言、历史与哲学、社会科学、数学与计算、自然科学、工程与设计、艺术、健康科学及时空研究九大学院。每个学院至少包含一条入门证书、一项本科专业和一条研究方向。</w:t>
      </w:r>
    </w:p>
    <w:p>
      <w:pPr>
        <w:pStyle w:val="Heading2"/>
      </w:pPr>
      <w:r>
        <w:t>5.3 成绩结算</w:t>
      </w:r>
    </w:p>
    <w:p>
      <w:r>
        <w:t>成绩由出勤与投入、先修知识、作业完成、考试或项目、健康与专注共同决定。关系不能直接提高分数，但同学小组和导师反馈可减少理解成本。失败课程保留已获得的知识进度，重修不会归零。</w:t>
      </w:r>
    </w:p>
    <w:p>
      <w:pPr>
        <w:pStyle w:val="Heading2"/>
      </w:pPr>
      <w:r>
        <w:t>5.4 研究</w:t>
      </w:r>
    </w:p>
    <w:p>
      <w:r>
        <w:t>研究项目由问题、所需节点、资料、实验或田野任务、导师和输出形式组成。跨学科节点可以生成原创课题。结果分为未证实、局部结果、可靠成果和代表作；未成功的研究仍会留下方法经验和后续线索。</w:t>
      </w:r>
    </w:p>
    <w:p>
      <w:pPr>
        <w:pStyle w:val="Heading1"/>
      </w:pPr>
      <w:r>
        <w:t>6 小镇关系与事件</w:t>
      </w:r>
    </w:p>
    <w:p>
      <w:pPr>
        <w:pStyle w:val="Heading2"/>
      </w:pPr>
      <w:r>
        <w:t>6.1 居民模型</w:t>
      </w:r>
    </w:p>
    <w:p>
      <w:r>
        <w:t>每位常驻角色拥有公开身份、兴趣、价值倾向、当前日程、长期愿望和隐私边界。角色不会围绕玩家静止：他们会学习、旅行、改变工作与关系。时间保护使角色可以陪伴长期档，但不阻止人格和生活阶段变化。</w:t>
      </w:r>
    </w:p>
    <w:p>
      <w:pPr>
        <w:pStyle w:val="Heading2"/>
      </w:pPr>
      <w:r>
        <w:t>6.2 关系维度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30"/>
        <w:gridCol w:w="3230"/>
        <w:gridCol w:w="3230"/>
      </w:tblGrid>
      <w:tr>
        <w:tc>
          <w:tcPr>
            <w:tcW w:type="dxa" w:w="1247"/>
            <w:shd w:fill="243A5A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3969"/>
            <w:shd w:fill="243A5A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含义</w:t>
            </w:r>
          </w:p>
        </w:tc>
        <w:tc>
          <w:tcPr>
            <w:tcW w:type="dxa" w:w="3628"/>
            <w:shd w:fill="243A5A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主要来源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熟悉</w:t>
            </w:r>
          </w:p>
        </w:tc>
        <w:tc>
          <w:tcPr>
            <w:tcW w:type="dxa" w:w="3969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彼此了解程度</w:t>
            </w:r>
          </w:p>
        </w:tc>
        <w:tc>
          <w:tcPr>
            <w:tcW w:type="dxa" w:w="3628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共同活动、交谈、介绍</w:t>
            </w:r>
          </w:p>
        </w:tc>
      </w:tr>
      <w:tr>
        <w:tc>
          <w:tcPr>
            <w:tcW w:type="dxa" w:w="1247"/>
            <w:vAlign w:val="center"/>
            <w:shd w:fill="EEF3F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信任</w:t>
            </w:r>
          </w:p>
        </w:tc>
        <w:tc>
          <w:tcPr>
            <w:tcW w:type="dxa" w:w="3969"/>
            <w:vAlign w:val="center"/>
            <w:shd w:fill="EEF3F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是否相信对方可靠</w:t>
            </w:r>
          </w:p>
        </w:tc>
        <w:tc>
          <w:tcPr>
            <w:tcW w:type="dxa" w:w="3628"/>
            <w:vAlign w:val="center"/>
            <w:shd w:fill="EEF3F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守约、支持、诚实回应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亲密</w:t>
            </w:r>
          </w:p>
        </w:tc>
        <w:tc>
          <w:tcPr>
            <w:tcW w:type="dxa" w:w="3969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分享私人生活的程度</w:t>
            </w:r>
          </w:p>
        </w:tc>
        <w:tc>
          <w:tcPr>
            <w:tcW w:type="dxa" w:w="3628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高质量相处、共同记忆</w:t>
            </w:r>
          </w:p>
        </w:tc>
      </w:tr>
      <w:tr>
        <w:tc>
          <w:tcPr>
            <w:tcW w:type="dxa" w:w="1247"/>
            <w:vAlign w:val="center"/>
            <w:shd w:fill="EEF3F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契合</w:t>
            </w:r>
          </w:p>
        </w:tc>
        <w:tc>
          <w:tcPr>
            <w:tcW w:type="dxa" w:w="3969"/>
            <w:vAlign w:val="center"/>
            <w:shd w:fill="EEF3F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兴趣和生活方式的相容性</w:t>
            </w:r>
          </w:p>
        </w:tc>
        <w:tc>
          <w:tcPr>
            <w:tcW w:type="dxa" w:w="3628"/>
            <w:vAlign w:val="center"/>
            <w:shd w:fill="EEF3F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共学、旅行、长期计划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张力</w:t>
            </w:r>
          </w:p>
        </w:tc>
        <w:tc>
          <w:tcPr>
            <w:tcW w:type="dxa" w:w="3969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未解决分歧或期待落差</w:t>
            </w:r>
          </w:p>
        </w:tc>
        <w:tc>
          <w:tcPr>
            <w:tcW w:type="dxa" w:w="3628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失约、边界冲突、长期忽视</w:t>
            </w:r>
          </w:p>
        </w:tc>
      </w:tr>
    </w:tbl>
    <w:p>
      <w:pPr>
        <w:spacing w:after="0"/>
      </w:pPr>
    </w:p>
    <w:p>
      <w:pPr>
        <w:pStyle w:val="Heading2"/>
      </w:pPr>
      <w:r>
        <w:t>6.3 友情与爱情</w:t>
      </w:r>
    </w:p>
    <w:p>
      <w:r>
        <w:t>关系升级不是单一数值达到阈值，而是要求足够的共同经历、信任和双方意愿。爱情不限制性别；玩家可以拒绝、维持友情或选择不建立恋爱关系。关系降温主要来自长期分岔和未解决张力，不来自短期忙碌。</w:t>
      </w:r>
    </w:p>
    <w:p>
      <w:pPr>
        <w:pStyle w:val="Heading2"/>
      </w:pPr>
      <w:r>
        <w:t>6.4 事件队列</w:t>
      </w:r>
    </w:p>
    <w:p>
      <w:r>
        <w:t>普通事件自动选择低风险回应并写入日志；需要立场的事件进入待处理队列。待处理事项包含截止日期、已知后果和相关角色，不制造隐藏的即时惩罚。未回应时采用玩家预设的礼貌拒绝或延期规则。</w:t>
      </w:r>
    </w:p>
    <w:p>
      <w:pPr>
        <w:pStyle w:val="Heading1"/>
      </w:pPr>
      <w:r>
        <w:t>7 旅行与生活活动</w:t>
      </w:r>
    </w:p>
    <w:p>
      <w:pPr>
        <w:pStyle w:val="Heading2"/>
      </w:pPr>
      <w:r>
        <w:t>7.1 旅行流程</w:t>
      </w:r>
    </w:p>
    <w:p>
      <w:r>
        <w:t>旅行由目的地、主题、时长、预算、同行者和舒适度组成。玩家先准备资料与装备，再一次性推进相应时间。回程报告以路线、札记、观察、关系片段、支出和后续线索组成。知识节点改变可观察内容，陌生领域仍能产生问题，但难以直接形成高阶结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22"/>
        <w:gridCol w:w="2422"/>
        <w:gridCol w:w="2422"/>
        <w:gridCol w:w="2422"/>
      </w:tblGrid>
      <w:tr>
        <w:tc>
          <w:tcPr>
            <w:tcW w:type="dxa" w:w="1474"/>
            <w:shd w:fill="243A5A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1587"/>
            <w:shd w:fill="243A5A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时长</w:t>
            </w:r>
          </w:p>
        </w:tc>
        <w:tc>
          <w:tcPr>
            <w:tcW w:type="dxa" w:w="3685"/>
            <w:shd w:fill="243A5A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主要回报</w:t>
            </w:r>
          </w:p>
        </w:tc>
        <w:tc>
          <w:tcPr>
            <w:tcW w:type="dxa" w:w="3402"/>
            <w:shd w:fill="243A5A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主要成本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短途游览</w:t>
            </w:r>
          </w:p>
        </w:tc>
        <w:tc>
          <w:tcPr>
            <w:tcW w:type="dxa" w:w="158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1 至 3 天</w:t>
            </w:r>
          </w:p>
        </w:tc>
        <w:tc>
          <w:tcPr>
            <w:tcW w:type="dxa" w:w="3685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情绪、地点熟悉、轻社交</w:t>
            </w:r>
          </w:p>
        </w:tc>
        <w:tc>
          <w:tcPr>
            <w:tcW w:type="dxa" w:w="3402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少量资金与精力</w:t>
            </w:r>
          </w:p>
        </w:tc>
      </w:tr>
      <w:tr>
        <w:tc>
          <w:tcPr>
            <w:tcW w:type="dxa" w:w="1474"/>
            <w:vAlign w:val="center"/>
            <w:shd w:fill="EEF3F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主题考察</w:t>
            </w:r>
          </w:p>
        </w:tc>
        <w:tc>
          <w:tcPr>
            <w:tcW w:type="dxa" w:w="1587"/>
            <w:vAlign w:val="center"/>
            <w:shd w:fill="EEF3F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1 至 4 周</w:t>
            </w:r>
          </w:p>
        </w:tc>
        <w:tc>
          <w:tcPr>
            <w:tcW w:type="dxa" w:w="3685"/>
            <w:vAlign w:val="center"/>
            <w:shd w:fill="EEF3F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知识观察、资料、课程联动</w:t>
            </w:r>
          </w:p>
        </w:tc>
        <w:tc>
          <w:tcPr>
            <w:tcW w:type="dxa" w:w="3402"/>
            <w:vAlign w:val="center"/>
            <w:shd w:fill="EEF3F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准备、预算、专注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学术交流</w:t>
            </w:r>
          </w:p>
        </w:tc>
        <w:tc>
          <w:tcPr>
            <w:tcW w:type="dxa" w:w="158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数天至一学期</w:t>
            </w:r>
          </w:p>
        </w:tc>
        <w:tc>
          <w:tcPr>
            <w:tcW w:type="dxa" w:w="3685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导师、人脉、研究机会</w:t>
            </w:r>
          </w:p>
        </w:tc>
        <w:tc>
          <w:tcPr>
            <w:tcW w:type="dxa" w:w="3402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资格、时间、差旅</w:t>
            </w:r>
          </w:p>
        </w:tc>
      </w:tr>
      <w:tr>
        <w:tc>
          <w:tcPr>
            <w:tcW w:type="dxa" w:w="1474"/>
            <w:vAlign w:val="center"/>
            <w:shd w:fill="EEF3F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长期居住</w:t>
            </w:r>
          </w:p>
        </w:tc>
        <w:tc>
          <w:tcPr>
            <w:tcW w:type="dxa" w:w="1587"/>
            <w:vAlign w:val="center"/>
            <w:shd w:fill="EEF3F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数月至数年</w:t>
            </w:r>
          </w:p>
        </w:tc>
        <w:tc>
          <w:tcPr>
            <w:tcW w:type="dxa" w:w="3685"/>
            <w:vAlign w:val="center"/>
            <w:shd w:fill="EEF3F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语言、文化和深层关系</w:t>
            </w:r>
          </w:p>
        </w:tc>
        <w:tc>
          <w:tcPr>
            <w:tcW w:type="dxa" w:w="3402"/>
            <w:vAlign w:val="center"/>
            <w:shd w:fill="EEF3F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高预算、原日程暂停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大型远征</w:t>
            </w:r>
          </w:p>
        </w:tc>
        <w:tc>
          <w:tcPr>
            <w:tcW w:type="dxa" w:w="158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数月至多年</w:t>
            </w:r>
          </w:p>
        </w:tc>
        <w:tc>
          <w:tcPr>
            <w:tcW w:type="dxa" w:w="3685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稀有发现与代表性档案</w:t>
            </w:r>
          </w:p>
        </w:tc>
        <w:tc>
          <w:tcPr>
            <w:tcW w:type="dxa" w:w="3402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高准备度与恢复期</w:t>
            </w:r>
          </w:p>
        </w:tc>
      </w:tr>
    </w:tbl>
    <w:p>
      <w:pPr>
        <w:spacing w:after="0"/>
      </w:pPr>
    </w:p>
    <w:p>
      <w:pPr>
        <w:pStyle w:val="Heading2"/>
      </w:pPr>
      <w:r>
        <w:t>7.2 其他活动</w:t>
      </w:r>
    </w:p>
    <w:p>
      <w:r>
        <w:t>健身、艺术、园艺、烹饪、收藏、游戏和社区服务各有独立项目线，但统一使用时段、状态、里程碑和长期项目模型。它们可以支持知识与关系，却不会成为毕业或结局的强制清单。</w:t>
      </w:r>
    </w:p>
    <w:p>
      <w:pPr>
        <w:pStyle w:val="Heading1"/>
      </w:pPr>
      <w:r>
        <w:t>8 住宅庄园与服务人员</w:t>
      </w:r>
    </w:p>
    <w:p>
      <w:pPr>
        <w:pStyle w:val="Heading2"/>
      </w:pPr>
      <w:r>
        <w:t>8.1 土地与建筑</w:t>
      </w:r>
    </w:p>
    <w:p>
      <w:r>
        <w:t>开局获得基础住宅和一片可扩展土地。建筑按功能解锁：卧室改善恢复，书房改善专注，藏书室提升书籍管理，健身房减少通勤，客房支持关系事件，实验室支持研究。扩建消耗资金和建设时间，并增加维护费。</w:t>
      </w:r>
    </w:p>
    <w:p>
      <w:pPr>
        <w:pStyle w:val="Heading2"/>
      </w:pPr>
      <w:r>
        <w:t>8.2 服务人员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30"/>
        <w:gridCol w:w="3230"/>
        <w:gridCol w:w="3230"/>
      </w:tblGrid>
      <w:tr>
        <w:tc>
          <w:tcPr>
            <w:tcW w:type="dxa" w:w="1701"/>
            <w:shd w:fill="243A5A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岗位</w:t>
            </w:r>
          </w:p>
        </w:tc>
        <w:tc>
          <w:tcPr>
            <w:tcW w:type="dxa" w:w="4535"/>
            <w:shd w:fill="243A5A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主要效果</w:t>
            </w:r>
          </w:p>
        </w:tc>
        <w:tc>
          <w:tcPr>
            <w:tcW w:type="dxa" w:w="2835"/>
            <w:shd w:fill="243A5A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限制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管家</w:t>
            </w:r>
          </w:p>
        </w:tc>
        <w:tc>
          <w:tcPr>
            <w:tcW w:type="dxa" w:w="4535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整合家务、访客和维护报告</w:t>
            </w:r>
          </w:p>
        </w:tc>
        <w:tc>
          <w:tcPr>
            <w:tcW w:type="dxa" w:w="2835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不能替玩家处理关系选择</w:t>
            </w:r>
          </w:p>
        </w:tc>
      </w:tr>
      <w:tr>
        <w:tc>
          <w:tcPr>
            <w:tcW w:type="dxa" w:w="1701"/>
            <w:vAlign w:val="center"/>
            <w:shd w:fill="EEF3F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厨师</w:t>
            </w:r>
          </w:p>
        </w:tc>
        <w:tc>
          <w:tcPr>
            <w:tcW w:type="dxa" w:w="4535"/>
            <w:vAlign w:val="center"/>
            <w:shd w:fill="EEF3F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提升饮食质量与健康稳定性</w:t>
            </w:r>
          </w:p>
        </w:tc>
        <w:tc>
          <w:tcPr>
            <w:tcW w:type="dxa" w:w="2835"/>
            <w:vAlign w:val="center"/>
            <w:shd w:fill="EEF3F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需要持续薪资和厨房等级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园丁</w:t>
            </w:r>
          </w:p>
        </w:tc>
        <w:tc>
          <w:tcPr>
            <w:tcW w:type="dxa" w:w="4535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维护庭院并产生园艺素材</w:t>
            </w:r>
          </w:p>
        </w:tc>
        <w:tc>
          <w:tcPr>
            <w:tcW w:type="dxa" w:w="2835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受土地与季节影响</w:t>
            </w:r>
          </w:p>
        </w:tc>
      </w:tr>
      <w:tr>
        <w:tc>
          <w:tcPr>
            <w:tcW w:type="dxa" w:w="1701"/>
            <w:vAlign w:val="center"/>
            <w:shd w:fill="EEF3F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司机</w:t>
            </w:r>
          </w:p>
        </w:tc>
        <w:tc>
          <w:tcPr>
            <w:tcW w:type="dxa" w:w="4535"/>
            <w:vAlign w:val="center"/>
            <w:shd w:fill="EEF3F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减少本地通勤并提高旅行舒适度</w:t>
            </w:r>
          </w:p>
        </w:tc>
        <w:tc>
          <w:tcPr>
            <w:tcW w:type="dxa" w:w="2835"/>
            <w:vAlign w:val="center"/>
            <w:shd w:fill="EEF3F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车辆和薪资成本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图书管理员</w:t>
            </w:r>
          </w:p>
        </w:tc>
        <w:tc>
          <w:tcPr>
            <w:tcW w:type="dxa" w:w="4535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整理藏书、推荐交叉书目</w:t>
            </w:r>
          </w:p>
        </w:tc>
        <w:tc>
          <w:tcPr>
            <w:tcW w:type="dxa" w:w="2835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不直接产生知识节点</w:t>
            </w:r>
          </w:p>
        </w:tc>
      </w:tr>
      <w:tr>
        <w:tc>
          <w:tcPr>
            <w:tcW w:type="dxa" w:w="1701"/>
            <w:vAlign w:val="center"/>
            <w:shd w:fill="EEF3F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研究助理</w:t>
            </w:r>
          </w:p>
        </w:tc>
        <w:tc>
          <w:tcPr>
            <w:tcW w:type="dxa" w:w="4535"/>
            <w:vAlign w:val="center"/>
            <w:shd w:fill="EEF3F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整理资料并降低研究杂务</w:t>
            </w:r>
          </w:p>
        </w:tc>
        <w:tc>
          <w:tcPr>
            <w:tcW w:type="dxa" w:w="2835"/>
            <w:vAlign w:val="center"/>
            <w:shd w:fill="EEF3F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需要研究资格，不能代写成果</w:t>
            </w:r>
          </w:p>
        </w:tc>
      </w:tr>
    </w:tbl>
    <w:p>
      <w:pPr>
        <w:spacing w:after="0"/>
      </w:pPr>
    </w:p>
    <w:p>
      <w:pPr>
        <w:pStyle w:val="Heading2"/>
      </w:pPr>
      <w:r>
        <w:t>8.3 财务保护</w:t>
      </w:r>
    </w:p>
    <w:p>
      <w:r>
        <w:t>系统提前预测未来四周固定支出。若余额不足，先提示调整；进入结算后则依次缩减临时服务、暂停员工班次、停止建设、降级奢侈消费。基础住宅和管理局保障不受影响。</w:t>
      </w:r>
    </w:p>
    <w:p>
      <w:pPr>
        <w:pStyle w:val="Heading1"/>
      </w:pPr>
      <w:r>
        <w:t>9 自动演化与报告</w:t>
      </w:r>
    </w:p>
    <w:p>
      <w:pPr>
        <w:pStyle w:val="Heading2"/>
      </w:pPr>
      <w:r>
        <w:t>9.1 模拟顺序</w:t>
      </w:r>
    </w:p>
    <w:p>
      <w:pPr>
        <w:pStyle w:val="ListNumber"/>
      </w:pPr>
      <w:r>
        <w:t>校验计划与资源，处理不可执行活动的预设备选。</w:t>
      </w:r>
    </w:p>
    <w:p>
      <w:pPr>
        <w:pStyle w:val="ListNumber"/>
      </w:pPr>
      <w:r>
        <w:t>逐日计算地点、参与者、状态、费用和项目投入。</w:t>
      </w:r>
    </w:p>
    <w:p>
      <w:pPr>
        <w:pStyle w:val="ListNumber"/>
      </w:pPr>
      <w:r>
        <w:t>在日末处理疲劳恢复、关系记忆和事件生成。</w:t>
      </w:r>
    </w:p>
    <w:p>
      <w:pPr>
        <w:pStyle w:val="ListNumber"/>
      </w:pPr>
      <w:r>
        <w:t>在周末结算知识、课程、资金、健康与长期项目。</w:t>
      </w:r>
    </w:p>
    <w:p>
      <w:pPr>
        <w:pStyle w:val="ListNumber"/>
      </w:pPr>
      <w:r>
        <w:t>将需要玩家立场的事项加入队列，生成自然语言摘要。</w:t>
      </w:r>
    </w:p>
    <w:p>
      <w:pPr>
        <w:pStyle w:val="Heading2"/>
      </w:pPr>
      <w:r>
        <w:t>9.2 可解释性</w:t>
      </w:r>
    </w:p>
    <w:p>
      <w:r>
        <w:t>每个重要结果都必须能够展开查看原因。例如课程退步应显示缺勤、先修不足或疲劳各自的影响；资金变化应可追溯到奖励和支出；关系变化应引用具体共同经历。报告避免只给出加减数字。</w:t>
      </w:r>
    </w:p>
    <w:p>
      <w:pPr>
        <w:pStyle w:val="Heading2"/>
      </w:pPr>
      <w:r>
        <w:t>9.3 日程冲突与替代</w:t>
      </w:r>
    </w:p>
    <w:p>
      <w:r>
        <w:t>玩家可以为活动设置三种失败策略：取消、移动到空闲时段、用低强度替代活动。系统不得擅自替换需要付费或改变关系承诺的活动。长跨度托管若连续两周使用替代方案，则在当前月末停止。</w:t>
      </w:r>
    </w:p>
    <w:p>
      <w:pPr>
        <w:pStyle w:val="Heading1"/>
      </w:pPr>
      <w:r>
        <w:t>10 界面与信息架构</w:t>
      </w:r>
    </w:p>
    <w:p>
      <w:pPr>
        <w:pStyle w:val="Heading2"/>
      </w:pPr>
      <w:r>
        <w:t>10.1 主界面</w:t>
      </w:r>
    </w:p>
    <w:p>
      <w:r>
        <w:t>首屏以本周日历为中心。左侧显示日期、地点和待处理事项；中央显示 7 天乘 3 时段的排程；右侧显示精力、健康、情绪、专注、余额和近期固定支出。底部固定提供预计结果、保存模板和开始演化。</w:t>
      </w:r>
    </w:p>
    <w:p>
      <w:pPr>
        <w:pStyle w:val="Heading2"/>
      </w:pPr>
      <w:r>
        <w:t>10.2 主要页面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30"/>
        <w:gridCol w:w="3230"/>
        <w:gridCol w:w="3230"/>
      </w:tblGrid>
      <w:tr>
        <w:tc>
          <w:tcPr>
            <w:tcW w:type="dxa" w:w="1531"/>
            <w:shd w:fill="243A5A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页面</w:t>
            </w:r>
          </w:p>
        </w:tc>
        <w:tc>
          <w:tcPr>
            <w:tcW w:type="dxa" w:w="3402"/>
            <w:shd w:fill="243A5A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首要任务</w:t>
            </w:r>
          </w:p>
        </w:tc>
        <w:tc>
          <w:tcPr>
            <w:tcW w:type="dxa" w:w="4139"/>
            <w:shd w:fill="243A5A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关键元素</w:t>
            </w:r>
          </w:p>
        </w:tc>
      </w:tr>
      <w:tr>
        <w:tc>
          <w:tcPr>
            <w:tcW w:type="dxa" w:w="1531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日程</w:t>
            </w:r>
          </w:p>
        </w:tc>
        <w:tc>
          <w:tcPr>
            <w:tcW w:type="dxa" w:w="3402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安排并开始回合</w:t>
            </w:r>
          </w:p>
        </w:tc>
        <w:tc>
          <w:tcPr>
            <w:tcW w:type="dxa" w:w="4139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周历、活动库、冲突预测、模板</w:t>
            </w:r>
          </w:p>
        </w:tc>
      </w:tr>
      <w:tr>
        <w:tc>
          <w:tcPr>
            <w:tcW w:type="dxa" w:w="1531"/>
            <w:vAlign w:val="center"/>
            <w:shd w:fill="EEF3F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报告</w:t>
            </w:r>
          </w:p>
        </w:tc>
        <w:tc>
          <w:tcPr>
            <w:tcW w:type="dxa" w:w="3402"/>
            <w:vAlign w:val="center"/>
            <w:shd w:fill="EEF3F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理解自动演化结果</w:t>
            </w:r>
          </w:p>
        </w:tc>
        <w:tc>
          <w:tcPr>
            <w:tcW w:type="dxa" w:w="4139"/>
            <w:vAlign w:val="center"/>
            <w:shd w:fill="EEF3F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逐日摘要、变化原因、待办</w:t>
            </w:r>
          </w:p>
        </w:tc>
      </w:tr>
      <w:tr>
        <w:tc>
          <w:tcPr>
            <w:tcW w:type="dxa" w:w="1531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图书馆</w:t>
            </w:r>
          </w:p>
        </w:tc>
        <w:tc>
          <w:tcPr>
            <w:tcW w:type="dxa" w:w="3402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发现并计划阅读</w:t>
            </w:r>
          </w:p>
        </w:tc>
        <w:tc>
          <w:tcPr>
            <w:tcW w:type="dxa" w:w="4139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分类树、搜索、书单、知识关联</w:t>
            </w:r>
          </w:p>
        </w:tc>
      </w:tr>
      <w:tr>
        <w:tc>
          <w:tcPr>
            <w:tcW w:type="dxa" w:w="1531"/>
            <w:vAlign w:val="center"/>
            <w:shd w:fill="EEF3F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大学</w:t>
            </w:r>
          </w:p>
        </w:tc>
        <w:tc>
          <w:tcPr>
            <w:tcW w:type="dxa" w:w="3402"/>
            <w:vAlign w:val="center"/>
            <w:shd w:fill="EEF3F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管理真实学制</w:t>
            </w:r>
          </w:p>
        </w:tc>
        <w:tc>
          <w:tcPr>
            <w:tcW w:type="dxa" w:w="4139"/>
            <w:vAlign w:val="center"/>
            <w:shd w:fill="EEF3F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课表、先修图、成绩、学位审计</w:t>
            </w:r>
          </w:p>
        </w:tc>
      </w:tr>
      <w:tr>
        <w:tc>
          <w:tcPr>
            <w:tcW w:type="dxa" w:w="1531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关系</w:t>
            </w:r>
          </w:p>
        </w:tc>
        <w:tc>
          <w:tcPr>
            <w:tcW w:type="dxa" w:w="3402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查看共同历史并安排相处</w:t>
            </w:r>
          </w:p>
        </w:tc>
        <w:tc>
          <w:tcPr>
            <w:tcW w:type="dxa" w:w="4139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人物、承诺、记忆、邀请</w:t>
            </w:r>
          </w:p>
        </w:tc>
      </w:tr>
      <w:tr>
        <w:tc>
          <w:tcPr>
            <w:tcW w:type="dxa" w:w="1531"/>
            <w:vAlign w:val="center"/>
            <w:shd w:fill="EEF3F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旅行</w:t>
            </w:r>
          </w:p>
        </w:tc>
        <w:tc>
          <w:tcPr>
            <w:tcW w:type="dxa" w:w="3402"/>
            <w:vAlign w:val="center"/>
            <w:shd w:fill="EEF3F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设计整块时间活动</w:t>
            </w:r>
          </w:p>
        </w:tc>
        <w:tc>
          <w:tcPr>
            <w:tcW w:type="dxa" w:w="4139"/>
            <w:vAlign w:val="center"/>
            <w:shd w:fill="EEF3F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目的地、主题、预算、同行者</w:t>
            </w:r>
          </w:p>
        </w:tc>
      </w:tr>
      <w:tr>
        <w:tc>
          <w:tcPr>
            <w:tcW w:type="dxa" w:w="1531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家园</w:t>
            </w:r>
          </w:p>
        </w:tc>
        <w:tc>
          <w:tcPr>
            <w:tcW w:type="dxa" w:w="3402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建设与管理服务</w:t>
            </w:r>
          </w:p>
        </w:tc>
        <w:tc>
          <w:tcPr>
            <w:tcW w:type="dxa" w:w="4139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平面功能、项目、维护、员工</w:t>
            </w:r>
          </w:p>
        </w:tc>
      </w:tr>
      <w:tr>
        <w:tc>
          <w:tcPr>
            <w:tcW w:type="dxa" w:w="1531"/>
            <w:vAlign w:val="center"/>
            <w:shd w:fill="EEF3F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档案</w:t>
            </w:r>
          </w:p>
        </w:tc>
        <w:tc>
          <w:tcPr>
            <w:tcW w:type="dxa" w:w="3402"/>
            <w:vAlign w:val="center"/>
            <w:shd w:fill="EEF3F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浏览长期人生</w:t>
            </w:r>
          </w:p>
        </w:tc>
        <w:tc>
          <w:tcPr>
            <w:tcW w:type="dxa" w:w="4139"/>
            <w:vAlign w:val="center"/>
            <w:shd w:fill="EEF3F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时间线、知识图谱、地图、年度书页</w:t>
            </w:r>
          </w:p>
        </w:tc>
      </w:tr>
    </w:tbl>
    <w:p>
      <w:pPr>
        <w:spacing w:after="0"/>
      </w:pPr>
    </w:p>
    <w:p>
      <w:pPr>
        <w:pStyle w:val="Heading2"/>
      </w:pPr>
      <w:r>
        <w:t>10.3 无脸化身</w:t>
      </w:r>
    </w:p>
    <w:p>
      <w:r>
        <w:t>文本统一使用第二人称，不展示默认头像、性别或外貌。个性通过日程、兴趣、居所、书单和关系选择自然显现。玩家可选择名字或保持空白；空白时界面仅称“你”。</w:t>
      </w:r>
    </w:p>
    <w:p>
      <w:pPr>
        <w:pStyle w:val="Heading1"/>
      </w:pPr>
      <w:r>
        <w:t>11 内容数据与技术接口</w:t>
      </w:r>
    </w:p>
    <w:p>
      <w:pPr>
        <w:pStyle w:val="Heading2"/>
      </w:pPr>
      <w:r>
        <w:t>11.1 核心对象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30"/>
        <w:gridCol w:w="3230"/>
        <w:gridCol w:w="3230"/>
      </w:tblGrid>
      <w:tr>
        <w:tc>
          <w:tcPr>
            <w:tcW w:type="dxa" w:w="1701"/>
            <w:shd w:fill="243A5A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对象</w:t>
            </w:r>
          </w:p>
        </w:tc>
        <w:tc>
          <w:tcPr>
            <w:tcW w:type="dxa" w:w="4535"/>
            <w:shd w:fill="243A5A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关键字段</w:t>
            </w:r>
          </w:p>
        </w:tc>
        <w:tc>
          <w:tcPr>
            <w:tcW w:type="dxa" w:w="2835"/>
            <w:shd w:fill="243A5A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主要消费者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Book</w:t>
            </w:r>
          </w:p>
        </w:tc>
        <w:tc>
          <w:tcPr>
            <w:tcW w:type="dxa" w:w="4535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来源、分类、难度、篇幅、先修、节点产出</w:t>
            </w:r>
          </w:p>
        </w:tc>
        <w:tc>
          <w:tcPr>
            <w:tcW w:type="dxa" w:w="2835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图书馆、课程、研究、报告</w:t>
            </w:r>
          </w:p>
        </w:tc>
      </w:tr>
      <w:tr>
        <w:tc>
          <w:tcPr>
            <w:tcW w:type="dxa" w:w="1701"/>
            <w:vAlign w:val="center"/>
            <w:shd w:fill="EEF3F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KnowledgeNode</w:t>
            </w:r>
          </w:p>
        </w:tc>
        <w:tc>
          <w:tcPr>
            <w:tcW w:type="dxa" w:w="4535"/>
            <w:vAlign w:val="center"/>
            <w:shd w:fill="EEF3F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领域、层级、熟练度、来源记录、关联</w:t>
            </w:r>
          </w:p>
        </w:tc>
        <w:tc>
          <w:tcPr>
            <w:tcW w:type="dxa" w:w="2835"/>
            <w:vAlign w:val="center"/>
            <w:shd w:fill="EEF3F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所有知识判断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Course</w:t>
            </w:r>
          </w:p>
        </w:tc>
        <w:tc>
          <w:tcPr>
            <w:tcW w:type="dxa" w:w="4535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学期、学分、课时、先修、考核、节点产出</w:t>
            </w:r>
          </w:p>
        </w:tc>
        <w:tc>
          <w:tcPr>
            <w:tcW w:type="dxa" w:w="2835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大学、日程、报告</w:t>
            </w:r>
          </w:p>
        </w:tc>
      </w:tr>
      <w:tr>
        <w:tc>
          <w:tcPr>
            <w:tcW w:type="dxa" w:w="1701"/>
            <w:vAlign w:val="center"/>
            <w:shd w:fill="EEF3F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ScheduleActivity</w:t>
            </w:r>
          </w:p>
        </w:tc>
        <w:tc>
          <w:tcPr>
            <w:tcW w:type="dxa" w:w="4535"/>
            <w:vAlign w:val="center"/>
            <w:shd w:fill="EEF3F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时段、地点、费用、状态消耗、参与者、替代策略</w:t>
            </w:r>
          </w:p>
        </w:tc>
        <w:tc>
          <w:tcPr>
            <w:tcW w:type="dxa" w:w="2835"/>
            <w:vAlign w:val="center"/>
            <w:shd w:fill="EEF3F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日程与模拟器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LongTermProject</w:t>
            </w:r>
          </w:p>
        </w:tc>
        <w:tc>
          <w:tcPr>
            <w:tcW w:type="dxa" w:w="4535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类型、阶段、累计投入、门槛、成果</w:t>
            </w:r>
          </w:p>
        </w:tc>
        <w:tc>
          <w:tcPr>
            <w:tcW w:type="dxa" w:w="2835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阅读、学位、研究、建设</w:t>
            </w:r>
          </w:p>
        </w:tc>
      </w:tr>
      <w:tr>
        <w:tc>
          <w:tcPr>
            <w:tcW w:type="dxa" w:w="1701"/>
            <w:vAlign w:val="center"/>
            <w:shd w:fill="EEF3F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Relationship</w:t>
            </w:r>
          </w:p>
        </w:tc>
        <w:tc>
          <w:tcPr>
            <w:tcW w:type="dxa" w:w="4535"/>
            <w:vAlign w:val="center"/>
            <w:shd w:fill="EEF3F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角色、熟悉、信任、亲密、契合、张力、记忆</w:t>
            </w:r>
          </w:p>
        </w:tc>
        <w:tc>
          <w:tcPr>
            <w:tcW w:type="dxa" w:w="2835"/>
            <w:vAlign w:val="center"/>
            <w:shd w:fill="EEF3F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关系和事件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SimulationReport</w:t>
            </w:r>
          </w:p>
        </w:tc>
        <w:tc>
          <w:tcPr>
            <w:tcW w:type="dxa" w:w="4535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跨度、每日结果、变化原因、待处理事项</w:t>
            </w:r>
          </w:p>
        </w:tc>
        <w:tc>
          <w:tcPr>
            <w:tcW w:type="dxa" w:w="2835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报告与人生档案</w:t>
            </w:r>
          </w:p>
        </w:tc>
      </w:tr>
      <w:tr>
        <w:tc>
          <w:tcPr>
            <w:tcW w:type="dxa" w:w="1701"/>
            <w:vAlign w:val="center"/>
            <w:shd w:fill="EEF3F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LifeArchive</w:t>
            </w:r>
          </w:p>
        </w:tc>
        <w:tc>
          <w:tcPr>
            <w:tcW w:type="dxa" w:w="4535"/>
            <w:vAlign w:val="center"/>
            <w:shd w:fill="EEF3F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时间线、代表成果、关系史、地图、称号</w:t>
            </w:r>
          </w:p>
        </w:tc>
        <w:tc>
          <w:tcPr>
            <w:tcW w:type="dxa" w:w="2835"/>
            <w:vAlign w:val="center"/>
            <w:shd w:fill="EEF3F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结局与回顾</w:t>
            </w:r>
          </w:p>
        </w:tc>
      </w:tr>
    </w:tbl>
    <w:p>
      <w:pPr>
        <w:spacing w:after="0"/>
      </w:pPr>
    </w:p>
    <w:p>
      <w:pPr>
        <w:pStyle w:val="Heading2"/>
      </w:pPr>
      <w:r>
        <w:t>11.2 统一结算接口</w:t>
      </w:r>
    </w:p>
    <w:p>
      <w:r>
        <w:t>所有活动接受当前世界状态、日程输入和随机种子，返回状态差量、项目投入、叙事记录和新事件。相同存档、计划与种子必须得到相同结果，便于重放、测试和问题定位。长跨度模拟只是重复调用周结算并压缩报告，不使用另一套简化规则。</w:t>
      </w:r>
    </w:p>
    <w:p>
      <w:pPr>
        <w:pStyle w:val="Heading2"/>
      </w:pPr>
      <w:r>
        <w:t>11.3 内容编写约束</w:t>
      </w:r>
    </w:p>
    <w:p>
      <w:pPr>
        <w:pStyle w:val="ListBullet"/>
      </w:pPr>
      <w:r>
        <w:t>事件必须声明触发条件、冷却时间、涉及角色、可延期性和结果来源。</w:t>
      </w:r>
    </w:p>
    <w:p>
      <w:pPr>
        <w:pStyle w:val="ListBullet"/>
      </w:pPr>
      <w:r>
        <w:t>课程必须声明先修、每周时间承诺、考核方式和知识产出。</w:t>
      </w:r>
    </w:p>
    <w:p>
      <w:pPr>
        <w:pStyle w:val="ListBullet"/>
      </w:pPr>
      <w:r>
        <w:t>书目必须有来源类别；现实书目不得包含受保护正文。</w:t>
      </w:r>
    </w:p>
    <w:p>
      <w:pPr>
        <w:pStyle w:val="ListBullet"/>
      </w:pPr>
      <w:r>
        <w:t>叙事文本不替无脸主角规定外貌、性别、口味或未选择的情感。</w:t>
      </w:r>
    </w:p>
    <w:p>
      <w:pPr>
        <w:pStyle w:val="ListBullet"/>
      </w:pPr>
      <w:r>
        <w:t>所有数值变化必须能映射为玩家可读的原因。</w:t>
      </w:r>
    </w:p>
    <w:p>
      <w:pPr>
        <w:pStyle w:val="Heading1"/>
      </w:pPr>
      <w:r>
        <w:t>12 平衡测试与制作路线</w:t>
      </w:r>
    </w:p>
    <w:p>
      <w:pPr>
        <w:pStyle w:val="Heading2"/>
      </w:pPr>
      <w:r>
        <w:t>12.1 验收场景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44"/>
        <w:gridCol w:w="4844"/>
      </w:tblGrid>
      <w:tr>
        <w:tc>
          <w:tcPr>
            <w:tcW w:type="dxa" w:w="2268"/>
            <w:shd w:fill="243A5A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7654"/>
            <w:shd w:fill="243A5A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通过标准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首次一周</w:t>
            </w:r>
          </w:p>
        </w:tc>
        <w:tc>
          <w:tcPr>
            <w:tcW w:type="dxa" w:w="7654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新玩家在 5 分钟内完成排程；报告能解释主要变化</w:t>
            </w:r>
          </w:p>
        </w:tc>
      </w:tr>
      <w:tr>
        <w:tc>
          <w:tcPr>
            <w:tcW w:type="dxa" w:w="2268"/>
            <w:vAlign w:val="center"/>
            <w:shd w:fill="EEF3F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过度排程</w:t>
            </w:r>
          </w:p>
        </w:tc>
        <w:tc>
          <w:tcPr>
            <w:tcW w:type="dxa" w:w="7654"/>
            <w:vAlign w:val="center"/>
            <w:shd w:fill="EEF3F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连续高强度学习导致可恢复的效率下降，而非永久失败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知识联动</w:t>
            </w:r>
          </w:p>
        </w:tc>
        <w:tc>
          <w:tcPr>
            <w:tcW w:type="dxa" w:w="7654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读书所得至少改变一项课程、旅行观察或谈话结果</w:t>
            </w:r>
          </w:p>
        </w:tc>
      </w:tr>
      <w:tr>
        <w:tc>
          <w:tcPr>
            <w:tcW w:type="dxa" w:w="2268"/>
            <w:vAlign w:val="center"/>
            <w:shd w:fill="EEF3F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真实学位</w:t>
            </w:r>
          </w:p>
        </w:tc>
        <w:tc>
          <w:tcPr>
            <w:tcW w:type="dxa" w:w="7654"/>
            <w:vAlign w:val="center"/>
            <w:shd w:fill="EEF3F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学位要求清楚，旁听、退课、重修和免修均可正确处理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全自动回合</w:t>
            </w:r>
          </w:p>
        </w:tc>
        <w:tc>
          <w:tcPr>
            <w:tcW w:type="dxa" w:w="7654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演化期间无强制弹窗，待处理事项完整保留</w:t>
            </w:r>
          </w:p>
        </w:tc>
      </w:tr>
      <w:tr>
        <w:tc>
          <w:tcPr>
            <w:tcW w:type="dxa" w:w="2268"/>
            <w:vAlign w:val="center"/>
            <w:shd w:fill="EEF3F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经济降级</w:t>
            </w:r>
          </w:p>
        </w:tc>
        <w:tc>
          <w:tcPr>
            <w:tcW w:type="dxa" w:w="7654"/>
            <w:vAlign w:val="center"/>
            <w:shd w:fill="EEF3F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余额不足按既定顺序削减支出，基础保障不丢失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关系长期性</w:t>
            </w:r>
          </w:p>
        </w:tc>
        <w:tc>
          <w:tcPr>
            <w:tcW w:type="dxa" w:w="7654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短期忙碌不惩罚，长期失约产生可解释张力</w:t>
            </w:r>
          </w:p>
        </w:tc>
      </w:tr>
      <w:tr>
        <w:tc>
          <w:tcPr>
            <w:tcW w:type="dxa" w:w="2268"/>
            <w:vAlign w:val="center"/>
            <w:shd w:fill="EEF3F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时间缩放</w:t>
            </w:r>
          </w:p>
        </w:tc>
        <w:tc>
          <w:tcPr>
            <w:tcW w:type="dxa" w:w="7654"/>
            <w:vAlign w:val="center"/>
            <w:shd w:fill="EEF3F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周、月、学期和十年模拟在相同输入下统计一致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结局档案</w:t>
            </w:r>
          </w:p>
        </w:tc>
        <w:tc>
          <w:tcPr>
            <w:tcW w:type="dxa" w:w="7654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不同玩法产生不同叙述，不以内容完成率判定优劣</w:t>
            </w:r>
          </w:p>
        </w:tc>
      </w:tr>
    </w:tbl>
    <w:p>
      <w:pPr>
        <w:spacing w:after="0"/>
      </w:pPr>
    </w:p>
    <w:p>
      <w:pPr>
        <w:pStyle w:val="Heading2"/>
      </w:pPr>
      <w:r>
        <w:t>12.2 平衡指标</w:t>
      </w:r>
    </w:p>
    <w:p>
      <w:r>
        <w:t>内部测试记录每周有效自由时段、状态崩溃率、计划替代率、资金覆盖月数、课程完成率、知识节点应用率、关系事件重复率和长跨度中止率。目标不是让所有数值最大化，而是保证每种生活风格都有可持续配置和清晰代价。</w:t>
      </w:r>
    </w:p>
    <w:p>
      <w:pPr>
        <w:pStyle w:val="Heading2"/>
      </w:pPr>
      <w:r>
        <w:t>12.3 制作阶段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30"/>
        <w:gridCol w:w="3230"/>
        <w:gridCol w:w="3230"/>
      </w:tblGrid>
      <w:tr>
        <w:tc>
          <w:tcPr>
            <w:tcW w:type="dxa" w:w="1474"/>
            <w:shd w:fill="243A5A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4706"/>
            <w:shd w:fill="243A5A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范围</w:t>
            </w:r>
          </w:p>
        </w:tc>
        <w:tc>
          <w:tcPr>
            <w:tcW w:type="dxa" w:w="3742"/>
            <w:shd w:fill="243A5A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完成定义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垂直切片</w:t>
            </w:r>
          </w:p>
        </w:tc>
        <w:tc>
          <w:tcPr>
            <w:tcW w:type="dxa" w:w="4706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1 学年、100 本书、20 门课、8 位居民、3 个旅行地</w:t>
            </w:r>
          </w:p>
        </w:tc>
        <w:tc>
          <w:tcPr>
            <w:tcW w:type="dxa" w:w="3742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周循环、知识联动和一个结局摘要可玩</w:t>
            </w:r>
          </w:p>
        </w:tc>
      </w:tr>
      <w:tr>
        <w:tc>
          <w:tcPr>
            <w:tcW w:type="dxa" w:w="1474"/>
            <w:vAlign w:val="center"/>
            <w:shd w:fill="EEF3F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系统版</w:t>
            </w:r>
          </w:p>
        </w:tc>
        <w:tc>
          <w:tcPr>
            <w:tcW w:type="dxa" w:w="4706"/>
            <w:vAlign w:val="center"/>
            <w:shd w:fill="EEF3F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5 年档完整，扩展住宅、关系和研究</w:t>
            </w:r>
          </w:p>
        </w:tc>
        <w:tc>
          <w:tcPr>
            <w:tcW w:type="dxa" w:w="3742"/>
            <w:vAlign w:val="center"/>
            <w:shd w:fill="EEF3F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所有核心页面与存档稳定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内容版</w:t>
            </w:r>
          </w:p>
        </w:tc>
        <w:tc>
          <w:tcPr>
            <w:tcW w:type="dxa" w:w="4706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60 年档、九大学院与长期托管</w:t>
            </w:r>
          </w:p>
        </w:tc>
        <w:tc>
          <w:tcPr>
            <w:tcW w:type="dxa" w:w="3742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重复率和内容覆盖达到测试标准</w:t>
            </w:r>
          </w:p>
        </w:tc>
      </w:tr>
      <w:tr>
        <w:tc>
          <w:tcPr>
            <w:tcW w:type="dxa" w:w="1474"/>
            <w:vAlign w:val="center"/>
            <w:shd w:fill="EEF3F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长期版</w:t>
            </w:r>
          </w:p>
        </w:tc>
        <w:tc>
          <w:tcPr>
            <w:tcW w:type="dxa" w:w="4706"/>
            <w:vAlign w:val="center"/>
            <w:shd w:fill="EEF3F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500 年档、时代计划和完整人生档案</w:t>
            </w:r>
          </w:p>
        </w:tc>
        <w:tc>
          <w:tcPr>
            <w:tcW w:type="dxa" w:w="3742"/>
            <w:vAlign w:val="center"/>
            <w:shd w:fill="EEF3F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跨时代模拟性能与叙事质量达标</w:t>
            </w:r>
          </w:p>
        </w:tc>
      </w:tr>
    </w:tbl>
    <w:p>
      <w:pPr>
        <w:spacing w:after="0"/>
      </w:pPr>
    </w:p>
    <w:p>
      <w:pPr>
        <w:pStyle w:val="Heading2"/>
      </w:pPr>
      <w:r>
        <w:t>12.4 首个原型的明确边界</w:t>
      </w:r>
    </w:p>
    <w:p>
      <w:r>
        <w:t>首个可玩原型只验证一周生活循环与图书大学联动：不制作开放世界移动、不生成完整书籍正文、不实现在线账户和多人玩法，也不追求 500 年全部内容。它必须保留与完整数据结构兼容的周模拟器，以免后续时间缩放需要重写核心规则。</w:t>
      </w:r>
    </w:p>
    <w:p>
      <w:pPr>
        <w:pStyle w:val="Heading1"/>
      </w:pPr>
      <w:r>
        <w:t>附录 A 默认数值框架</w:t>
      </w:r>
    </w:p>
    <w:p>
      <w:r>
        <w:t>下列数值仅用于首轮原型校准，内容制作可在测试后调整，但比例关系应保持。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30"/>
        <w:gridCol w:w="3230"/>
        <w:gridCol w:w="3230"/>
      </w:tblGrid>
      <w:tr>
        <w:tc>
          <w:tcPr>
            <w:tcW w:type="dxa" w:w="2268"/>
            <w:shd w:fill="243A5A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2835"/>
            <w:shd w:fill="243A5A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默认值</w:t>
            </w:r>
          </w:p>
        </w:tc>
        <w:tc>
          <w:tcPr>
            <w:tcW w:type="dxa" w:w="4819"/>
            <w:shd w:fill="243A5A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设计意图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每周可排时段</w:t>
            </w:r>
          </w:p>
        </w:tc>
        <w:tc>
          <w:tcPr>
            <w:tcW w:type="dxa" w:w="2835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21</w:t>
            </w:r>
          </w:p>
        </w:tc>
        <w:tc>
          <w:tcPr>
            <w:tcW w:type="dxa" w:w="4819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足够表达取舍，又不逐小时管理</w:t>
            </w:r>
          </w:p>
        </w:tc>
      </w:tr>
      <w:tr>
        <w:tc>
          <w:tcPr>
            <w:tcW w:type="dxa" w:w="2268"/>
            <w:vAlign w:val="center"/>
            <w:shd w:fill="EEF3F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高强度活动上限</w:t>
            </w:r>
          </w:p>
        </w:tc>
        <w:tc>
          <w:tcPr>
            <w:tcW w:type="dxa" w:w="2835"/>
            <w:vAlign w:val="center"/>
            <w:shd w:fill="EEF3F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建议 8 至 10 时段</w:t>
            </w:r>
          </w:p>
        </w:tc>
        <w:tc>
          <w:tcPr>
            <w:tcW w:type="dxa" w:w="4819"/>
            <w:vAlign w:val="center"/>
            <w:shd w:fill="EEF3F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超过后出现明显疲劳递增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基础生活成本</w:t>
            </w:r>
          </w:p>
        </w:tc>
        <w:tc>
          <w:tcPr>
            <w:tcW w:type="dxa" w:w="2835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0</w:t>
            </w:r>
          </w:p>
        </w:tc>
        <w:tc>
          <w:tcPr>
            <w:tcW w:type="dxa" w:w="4819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由管理局保障</w:t>
            </w:r>
          </w:p>
        </w:tc>
      </w:tr>
      <w:tr>
        <w:tc>
          <w:tcPr>
            <w:tcW w:type="dxa" w:w="2268"/>
            <w:vAlign w:val="center"/>
            <w:shd w:fill="EEF3F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普通课程投入</w:t>
            </w:r>
          </w:p>
        </w:tc>
        <w:tc>
          <w:tcPr>
            <w:tcW w:type="dxa" w:w="2835"/>
            <w:vAlign w:val="center"/>
            <w:shd w:fill="EEF3F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每周 2 至 4 时段</w:t>
            </w:r>
          </w:p>
        </w:tc>
        <w:tc>
          <w:tcPr>
            <w:tcW w:type="dxa" w:w="4819"/>
            <w:vAlign w:val="center"/>
            <w:shd w:fill="EEF3F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允许一学期并行少量课程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一本中等书籍</w:t>
            </w:r>
          </w:p>
        </w:tc>
        <w:tc>
          <w:tcPr>
            <w:tcW w:type="dxa" w:w="2835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6 至 12 阅读时段</w:t>
            </w:r>
          </w:p>
        </w:tc>
        <w:tc>
          <w:tcPr>
            <w:tcW w:type="dxa" w:w="4819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可跨数周完成并形成期待</w:t>
            </w:r>
          </w:p>
        </w:tc>
      </w:tr>
      <w:tr>
        <w:tc>
          <w:tcPr>
            <w:tcW w:type="dxa" w:w="2268"/>
            <w:vAlign w:val="center"/>
            <w:shd w:fill="EEF3F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关系维护窗口</w:t>
            </w:r>
          </w:p>
        </w:tc>
        <w:tc>
          <w:tcPr>
            <w:tcW w:type="dxa" w:w="2835"/>
            <w:vAlign w:val="center"/>
            <w:shd w:fill="EEF3F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约 4 至 8 周</w:t>
            </w:r>
          </w:p>
        </w:tc>
        <w:tc>
          <w:tcPr>
            <w:tcW w:type="dxa" w:w="4819"/>
            <w:vAlign w:val="center"/>
            <w:shd w:fill="EEF3F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避免每日打卡式社交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财务预警</w:t>
            </w:r>
          </w:p>
        </w:tc>
        <w:tc>
          <w:tcPr>
            <w:tcW w:type="dxa" w:w="2835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固定支出覆盖不足 4 周</w:t>
            </w:r>
          </w:p>
        </w:tc>
        <w:tc>
          <w:tcPr>
            <w:tcW w:type="dxa" w:w="4819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给玩家充分调整时间</w:t>
            </w:r>
          </w:p>
        </w:tc>
      </w:tr>
    </w:tbl>
    <w:p>
      <w:pPr>
        <w:spacing w:after="0"/>
      </w:pPr>
    </w:p>
    <w:p>
      <w:pPr>
        <w:pStyle w:val="Heading1"/>
      </w:pPr>
      <w:r>
        <w:t>附录 B 决策记录</w:t>
      </w:r>
    </w:p>
    <w:p>
      <w:pPr>
        <w:pStyle w:val="ListBullet"/>
      </w:pPr>
      <w:r>
        <w:t>核心体验：悠长人生模拟。</w:t>
      </w:r>
    </w:p>
    <w:p>
      <w:pPr>
        <w:pStyle w:val="ListBullet"/>
      </w:pPr>
      <w:r>
        <w:t>时间：分层混合制，回合内完全自动总结。</w:t>
      </w:r>
    </w:p>
    <w:p>
      <w:pPr>
        <w:pStyle w:val="ListBullet"/>
      </w:pPr>
      <w:r>
        <w:t>世界：小镇与周边属于时间保护区。</w:t>
      </w:r>
    </w:p>
    <w:p>
      <w:pPr>
        <w:pStyle w:val="ListBullet"/>
      </w:pPr>
      <w:r>
        <w:t>经济：需要规划，但基础生活永远安全。</w:t>
      </w:r>
    </w:p>
    <w:p>
      <w:pPr>
        <w:pStyle w:val="ListBullet"/>
      </w:pPr>
      <w:r>
        <w:t>内容：现实与虚构书目混合，首版以目录和数值联动为主。</w:t>
      </w:r>
    </w:p>
    <w:p>
      <w:pPr>
        <w:pStyle w:val="ListBullet"/>
      </w:pPr>
      <w:r>
        <w:t>大学：采用真实学期、学分、考试和学位结构。</w:t>
      </w:r>
    </w:p>
    <w:p>
      <w:pPr>
        <w:pStyle w:val="ListBullet"/>
      </w:pPr>
      <w:r>
        <w:t>玩家：无脸化身，不限制性别和恋爱对象。</w:t>
      </w:r>
    </w:p>
    <w:p>
      <w:pPr>
        <w:pStyle w:val="ListBullet"/>
      </w:pPr>
      <w:r>
        <w:t>结局：期限结束生成个人编年史，本局正式结束。</w:t>
      </w:r>
    </w:p>
    <w:sectPr w:rsidR="00FC693F" w:rsidRPr="0006063C" w:rsidSect="00034616">
      <w:footerReference w:type="default" r:id="rId9"/>
      <w:pgSz w:w="12240" w:h="15840"/>
      <w:pgMar w:top="1247" w:right="1219" w:bottom="1134" w:left="13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666666"/>
        <w:sz w:val="16"/>
      </w:rPr>
      <w:t xml:space="preserve">时空裂缝游戏设计文档 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120" w:after="100" w:line="300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40"/>
      <w:contextualSpacing/>
      <w:pBdr>
        <w:top w:val="nil"/>
        <w:left w:val="nil"/>
        <w:bottom w:val="nil"/>
        <w:right w:val="nil"/>
        <w:between w:val="nil"/>
      </w:pBdr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240" w:after="100"/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Microsoft YaHei" w:hAnsi="Microsoft YaHei" w:eastAsia="Microsoft YaHei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Microsoft YaHei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时空裂缝游戏设计文档</dc:title>
  <dc:subject>悠长人生模拟与知识养成系统设计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