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44"/>
        </w:rPr>
        <w:t>Hirewave API Reference</w:t>
      </w:r>
    </w:p>
    <w:p>
      <w:pPr>
        <w:spacing w:after="280"/>
        <w:pBdr>
          <w:bottom w:val="single" w:sz="8" w:space="1" w:color="B7C4D6"/>
        </w:pBdr>
      </w:pPr>
      <w:r>
        <w:rPr>
          <w:rFonts w:ascii="Calibri" w:hAnsi="Calibri"/>
          <w:color w:val="5A636E"/>
          <w:sz w:val="22"/>
        </w:rPr>
        <w:t>MVP route contracts, telemetry side effects, and sandbox metadata</w:t>
      </w:r>
    </w:p>
    <w:p>
      <w:pPr>
        <w:spacing w:before="200" w:after="120"/>
      </w:pPr>
      <w:r>
        <w:rPr>
          <w:rFonts w:ascii="Calibri" w:hAnsi="Calibri"/>
          <w:b/>
          <w:color w:val="5A636E"/>
          <w:sz w:val="18"/>
        </w:rPr>
        <w:t>Source: docs/07-api-reference.md</w:t>
      </w:r>
    </w:p>
    <w:p>
      <w:pPr>
        <w:pStyle w:val="Heading1"/>
        <w:keepNext/>
      </w:pPr>
      <w:r>
        <w:t>API Reference</w:t>
      </w:r>
    </w:p>
    <w:p>
      <w:r>
        <w:rPr>
          <w:rFonts w:ascii="Calibri" w:hAnsi="Calibri"/>
          <w:b w:val="0"/>
        </w:rPr>
        <w:t>Date: 2026-05-20</w:t>
      </w:r>
    </w:p>
    <w:p>
      <w:r>
        <w:rPr>
          <w:rFonts w:ascii="Calibri" w:hAnsi="Calibri"/>
          <w:b w:val="0"/>
        </w:rPr>
        <w:t>Product: Hirewave</w:t>
      </w:r>
    </w:p>
    <w:p>
      <w:r>
        <w:rPr>
          <w:rFonts w:ascii="Calibri" w:hAnsi="Calibri"/>
          <w:b w:val="0"/>
        </w:rPr>
        <w:t>This document records the current MVP API contract implemented by the Next.js route handlers. It is intentionally honest about the local demo boundary: hiring-team auth is demo-cookie based, candidates use accountless invite/session tokens, command execution defaults to a deterministic simulated runner, and no endpoint should be presented as production SSO, production RBAC, proctoring, billing, ATS integration, or real sandbox isolation.</w:t>
      </w:r>
    </w:p>
    <w:p>
      <w:pPr>
        <w:pStyle w:val="Heading2"/>
        <w:keepNext/>
      </w:pPr>
      <w:r>
        <w:t>Authentication And Access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615"/>
            <w:vAlign w:val="center"/>
            <w:shd w:fill="F2F4F7"/>
          </w:tcPr>
          <w:p>
            <w:pPr>
              <w:spacing w:after="0"/>
            </w:pPr>
            <w:r>
              <w:rPr>
                <w:rFonts w:ascii="Calibri" w:hAnsi="Calibri"/>
                <w:b/>
              </w:rPr>
              <w:t>Surface</w:t>
            </w:r>
          </w:p>
        </w:tc>
        <w:tc>
          <w:tcPr>
            <w:tcW w:type="dxa" w:w="1927"/>
            <w:vAlign w:val="center"/>
            <w:shd w:fill="F2F4F7"/>
          </w:tcPr>
          <w:p>
            <w:pPr>
              <w:spacing w:after="0"/>
            </w:pPr>
            <w:r>
              <w:rPr>
                <w:rFonts w:ascii="Calibri" w:hAnsi="Calibri"/>
                <w:b/>
              </w:rPr>
              <w:t>Access model</w:t>
            </w:r>
          </w:p>
        </w:tc>
        <w:tc>
          <w:tcPr>
            <w:tcW w:type="dxa" w:w="4818"/>
            <w:vAlign w:val="center"/>
            <w:shd w:fill="F2F4F7"/>
          </w:tcPr>
          <w:p>
            <w:pPr>
              <w:spacing w:after="0"/>
            </w:pPr>
            <w:r>
              <w:rPr>
                <w:rFonts w:ascii="Calibri" w:hAnsi="Calibri"/>
                <w:b/>
              </w:rPr>
              <w:t>Notes</w:t>
            </w:r>
          </w:p>
        </w:tc>
      </w:tr>
      <w:tr>
        <w:tc>
          <w:tcPr>
            <w:tcW w:type="dxa" w:w="2615"/>
            <w:vAlign w:val="center"/>
          </w:tcPr>
          <w:p>
            <w:pPr>
              <w:spacing w:after="0"/>
            </w:pPr>
            <w:r>
              <w:rPr>
                <w:rFonts w:ascii="Calibri" w:hAnsi="Calibri"/>
                <w:b w:val="0"/>
              </w:rPr>
              <w:t xml:space="preserve">Hiring-team pages and </w:t>
            </w:r>
            <w:r>
              <w:rPr>
                <w:rFonts w:ascii="Courier New" w:hAnsi="Courier New"/>
                <w:b w:val="0"/>
                <w:color w:val="1F4D78"/>
                <w:sz w:val="20"/>
              </w:rPr>
              <w:t>/api/auth/demo</w:t>
            </w:r>
          </w:p>
        </w:tc>
        <w:tc>
          <w:tcPr>
            <w:tcW w:type="dxa" w:w="1927"/>
            <w:vAlign w:val="center"/>
          </w:tcPr>
          <w:p>
            <w:pPr>
              <w:spacing w:after="0"/>
            </w:pPr>
            <w:r>
              <w:rPr>
                <w:rFonts w:ascii="Calibri" w:hAnsi="Calibri"/>
                <w:b w:val="0"/>
              </w:rPr>
              <w:t>Demo HTTP-only cookie</w:t>
            </w:r>
          </w:p>
        </w:tc>
        <w:tc>
          <w:tcPr>
            <w:tcW w:type="dxa" w:w="4818"/>
            <w:vAlign w:val="center"/>
          </w:tcPr>
          <w:p>
            <w:pPr>
              <w:spacing w:after="0"/>
            </w:pPr>
            <w:r>
              <w:rPr>
                <w:rFonts w:ascii="Courier New" w:hAnsi="Courier New"/>
                <w:b w:val="0"/>
                <w:color w:val="1F4D78"/>
                <w:sz w:val="20"/>
              </w:rPr>
              <w:t>/api/auth/demo</w:t>
            </w:r>
            <w:r>
              <w:rPr>
                <w:rFonts w:ascii="Calibri" w:hAnsi="Calibri"/>
                <w:b w:val="0"/>
              </w:rPr>
              <w:t xml:space="preserve"> creates or loads the demo user/workspace and sets the local hiring-team cookie.</w:t>
            </w:r>
          </w:p>
        </w:tc>
      </w:tr>
      <w:tr>
        <w:tc>
          <w:tcPr>
            <w:tcW w:type="dxa" w:w="2615"/>
            <w:vAlign w:val="center"/>
          </w:tcPr>
          <w:p>
            <w:pPr>
              <w:spacing w:after="0"/>
            </w:pPr>
            <w:r>
              <w:rPr>
                <w:rFonts w:ascii="Calibri" w:hAnsi="Calibri"/>
                <w:b w:val="0"/>
              </w:rPr>
              <w:t>Candidate invite and session APIs</w:t>
            </w:r>
          </w:p>
        </w:tc>
        <w:tc>
          <w:tcPr>
            <w:tcW w:type="dxa" w:w="1927"/>
            <w:vAlign w:val="center"/>
          </w:tcPr>
          <w:p>
            <w:pPr>
              <w:spacing w:after="0"/>
            </w:pPr>
            <w:r>
              <w:rPr>
                <w:rFonts w:ascii="Calibri" w:hAnsi="Calibri"/>
                <w:b w:val="0"/>
              </w:rPr>
              <w:t>Public invite/session token</w:t>
            </w:r>
          </w:p>
        </w:tc>
        <w:tc>
          <w:tcPr>
            <w:tcW w:type="dxa" w:w="4818"/>
            <w:vAlign w:val="center"/>
          </w:tcPr>
          <w:p>
            <w:pPr>
              <w:spacing w:after="0"/>
            </w:pPr>
            <w:r>
              <w:rPr>
                <w:rFonts w:ascii="Calibri" w:hAnsi="Calibri"/>
                <w:b w:val="0"/>
              </w:rPr>
              <w:t>Candidates do not create accounts. The session token is the session boundary.</w:t>
            </w:r>
          </w:p>
        </w:tc>
      </w:tr>
      <w:tr>
        <w:tc>
          <w:tcPr>
            <w:tcW w:type="dxa" w:w="2615"/>
            <w:vAlign w:val="center"/>
          </w:tcPr>
          <w:p>
            <w:pPr>
              <w:spacing w:after="0"/>
            </w:pPr>
            <w:r>
              <w:rPr>
                <w:rFonts w:ascii="Calibri" w:hAnsi="Calibri"/>
                <w:b w:val="0"/>
              </w:rPr>
              <w:t>Report routes</w:t>
            </w:r>
          </w:p>
        </w:tc>
        <w:tc>
          <w:tcPr>
            <w:tcW w:type="dxa" w:w="1927"/>
            <w:vAlign w:val="center"/>
          </w:tcPr>
          <w:p>
            <w:pPr>
              <w:spacing w:after="0"/>
            </w:pPr>
            <w:r>
              <w:rPr>
                <w:rFonts w:ascii="Calibri" w:hAnsi="Calibri"/>
                <w:b w:val="0"/>
              </w:rPr>
              <w:t>Demo hiring-team page access</w:t>
            </w:r>
          </w:p>
        </w:tc>
        <w:tc>
          <w:tcPr>
            <w:tcW w:type="dxa" w:w="4818"/>
            <w:vAlign w:val="center"/>
          </w:tcPr>
          <w:p>
            <w:pPr>
              <w:spacing w:after="0"/>
            </w:pPr>
            <w:r>
              <w:rPr>
                <w:rFonts w:ascii="Calibri" w:hAnsi="Calibri"/>
                <w:b w:val="0"/>
              </w:rPr>
              <w:t>Report pages are hiring-team product routes; completion pages do not expose report URLs to candidates.</w:t>
            </w:r>
          </w:p>
        </w:tc>
      </w:tr>
    </w:tbl>
    <w:p>
      <w:pPr>
        <w:spacing w:after="40"/>
      </w:pPr>
    </w:p>
    <w:p>
      <w:r>
        <w:rPr>
          <w:rFonts w:ascii="Calibri" w:hAnsi="Calibri"/>
          <w:b w:val="0"/>
        </w:rPr>
        <w:t>Common API errors: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1170"/>
            <w:vAlign w:val="center"/>
            <w:shd w:fill="F2F4F7"/>
          </w:tcPr>
          <w:p>
            <w:pPr>
              <w:spacing w:after="0"/>
            </w:pPr>
            <w:r>
              <w:rPr>
                <w:rFonts w:ascii="Calibri" w:hAnsi="Calibri"/>
                <w:b/>
              </w:rPr>
              <w:t>Status</w:t>
            </w:r>
          </w:p>
        </w:tc>
        <w:tc>
          <w:tcPr>
            <w:tcW w:type="dxa" w:w="8190"/>
            <w:vAlign w:val="center"/>
            <w:shd w:fill="F2F4F7"/>
          </w:tcPr>
          <w:p>
            <w:pPr>
              <w:spacing w:after="0"/>
            </w:pPr>
            <w:r>
              <w:rPr>
                <w:rFonts w:ascii="Calibri" w:hAnsi="Calibri"/>
                <w:b/>
              </w:rPr>
              <w:t>Meaning</w:t>
            </w:r>
          </w:p>
        </w:tc>
      </w:tr>
      <w:tr>
        <w:tc>
          <w:tcPr>
            <w:tcW w:type="dxa" w:w="1170"/>
            <w:vAlign w:val="center"/>
          </w:tcPr>
          <w:p>
            <w:pPr>
              <w:spacing w:after="0"/>
            </w:pPr>
            <w:r>
              <w:rPr>
                <w:rFonts w:ascii="Courier New" w:hAnsi="Courier New"/>
                <w:b w:val="0"/>
                <w:color w:val="1F4D78"/>
                <w:sz w:val="20"/>
              </w:rPr>
              <w:t>400</w:t>
            </w:r>
          </w:p>
        </w:tc>
        <w:tc>
          <w:tcPr>
            <w:tcW w:type="dxa" w:w="8190"/>
            <w:vAlign w:val="center"/>
          </w:tcPr>
          <w:p>
            <w:pPr>
              <w:spacing w:after="0"/>
            </w:pPr>
            <w:r>
              <w:rPr>
                <w:rFonts w:ascii="Calibri" w:hAnsi="Calibri"/>
                <w:b w:val="0"/>
              </w:rPr>
              <w:t>Validation failed, including unsafe workspace file paths.</w:t>
            </w:r>
          </w:p>
        </w:tc>
      </w:tr>
      <w:tr>
        <w:tc>
          <w:tcPr>
            <w:tcW w:type="dxa" w:w="1170"/>
            <w:vAlign w:val="center"/>
          </w:tcPr>
          <w:p>
            <w:pPr>
              <w:spacing w:after="0"/>
            </w:pPr>
            <w:r>
              <w:rPr>
                <w:rFonts w:ascii="Courier New" w:hAnsi="Courier New"/>
                <w:b w:val="0"/>
                <w:color w:val="1F4D78"/>
                <w:sz w:val="20"/>
              </w:rPr>
              <w:t>404</w:t>
            </w:r>
          </w:p>
        </w:tc>
        <w:tc>
          <w:tcPr>
            <w:tcW w:type="dxa" w:w="8190"/>
            <w:vAlign w:val="center"/>
          </w:tcPr>
          <w:p>
            <w:pPr>
              <w:spacing w:after="0"/>
            </w:pPr>
            <w:r>
              <w:rPr>
                <w:rFonts w:ascii="Calibri" w:hAnsi="Calibri"/>
                <w:b w:val="0"/>
              </w:rPr>
              <w:t>Session or route target was not found.</w:t>
            </w:r>
          </w:p>
        </w:tc>
      </w:tr>
      <w:tr>
        <w:tc>
          <w:tcPr>
            <w:tcW w:type="dxa" w:w="1170"/>
            <w:vAlign w:val="center"/>
          </w:tcPr>
          <w:p>
            <w:pPr>
              <w:spacing w:after="0"/>
            </w:pPr>
            <w:r>
              <w:rPr>
                <w:rFonts w:ascii="Courier New" w:hAnsi="Courier New"/>
                <w:b w:val="0"/>
                <w:color w:val="1F4D78"/>
                <w:sz w:val="20"/>
              </w:rPr>
              <w:t>409</w:t>
            </w:r>
          </w:p>
        </w:tc>
        <w:tc>
          <w:tcPr>
            <w:tcW w:type="dxa" w:w="8190"/>
            <w:vAlign w:val="center"/>
          </w:tcPr>
          <w:p>
            <w:pPr>
              <w:spacing w:after="0"/>
            </w:pPr>
            <w:r>
              <w:rPr>
                <w:rFonts w:ascii="Calibri" w:hAnsi="Calibri"/>
                <w:b w:val="0"/>
              </w:rPr>
              <w:t>Candidate session is closed (</w:t>
            </w:r>
            <w:r>
              <w:rPr>
                <w:rFonts w:ascii="Courier New" w:hAnsi="Courier New"/>
                <w:b w:val="0"/>
                <w:color w:val="1F4D78"/>
                <w:sz w:val="20"/>
              </w:rPr>
              <w:t>submitted</w:t>
            </w:r>
            <w:r>
              <w:rPr>
                <w:rFonts w:ascii="Calibri" w:hAnsi="Calibri"/>
                <w:b w:val="0"/>
              </w:rPr>
              <w:t xml:space="preserve">, </w:t>
            </w:r>
            <w:r>
              <w:rPr>
                <w:rFonts w:ascii="Courier New" w:hAnsi="Courier New"/>
                <w:b w:val="0"/>
                <w:color w:val="1F4D78"/>
                <w:sz w:val="20"/>
              </w:rPr>
              <w:t>expired</w:t>
            </w:r>
            <w:r>
              <w:rPr>
                <w:rFonts w:ascii="Calibri" w:hAnsi="Calibri"/>
                <w:b w:val="0"/>
              </w:rPr>
              <w:t xml:space="preserve">, or </w:t>
            </w:r>
            <w:r>
              <w:rPr>
                <w:rFonts w:ascii="Courier New" w:hAnsi="Courier New"/>
                <w:b w:val="0"/>
                <w:color w:val="1F4D78"/>
                <w:sz w:val="20"/>
              </w:rPr>
              <w:t>report_ready</w:t>
            </w:r>
            <w:r>
              <w:rPr>
                <w:rFonts w:ascii="Calibri" w:hAnsi="Calibri"/>
                <w:b w:val="0"/>
              </w:rPr>
              <w:t>) and no longer accepts file, AI, or command writes.</w:t>
            </w:r>
          </w:p>
        </w:tc>
      </w:tr>
    </w:tbl>
    <w:p>
      <w:pPr>
        <w:spacing w:after="40"/>
      </w:pPr>
    </w:p>
    <w:p>
      <w:pPr>
        <w:pStyle w:val="Heading2"/>
        <w:keepNext/>
      </w:pPr>
      <w:r>
        <w:t>Demo Auth</w:t>
      </w:r>
    </w:p>
    <w:p>
      <w:pPr>
        <w:pStyle w:val="Heading3"/>
        <w:keepNext/>
      </w:pPr>
      <w:r>
        <w:t>`GET /api/auth/demo`</w:t>
      </w:r>
    </w:p>
    <w:p>
      <w:r>
        <w:rPr>
          <w:rFonts w:ascii="Calibri" w:hAnsi="Calibri"/>
          <w:b w:val="0"/>
        </w:rPr>
        <w:t>Creates or loads the demo hiring user, ensures the demo workspace and default challenge exist, sets the demo auth cookie, and redirects to a safe internal route.</w:t>
      </w:r>
    </w:p>
    <w:p>
      <w:r>
        <w:rPr>
          <w:rFonts w:ascii="Calibri" w:hAnsi="Calibri"/>
          <w:b w:val="0"/>
        </w:rPr>
        <w:t>Query parameters: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1100"/>
            <w:vAlign w:val="center"/>
            <w:shd w:fill="F2F4F7"/>
          </w:tcPr>
          <w:p>
            <w:pPr>
              <w:spacing w:after="0"/>
            </w:pPr>
            <w:r>
              <w:rPr>
                <w:rFonts w:ascii="Calibri" w:hAnsi="Calibri"/>
                <w:b/>
              </w:rPr>
              <w:t>Name</w:t>
            </w:r>
          </w:p>
        </w:tc>
        <w:tc>
          <w:tcPr>
            <w:tcW w:type="dxa" w:w="1100"/>
            <w:vAlign w:val="center"/>
            <w:shd w:fill="F2F4F7"/>
          </w:tcPr>
          <w:p>
            <w:pPr>
              <w:spacing w:after="0"/>
            </w:pPr>
            <w:r>
              <w:rPr>
                <w:rFonts w:ascii="Calibri" w:hAnsi="Calibri"/>
                <w:b/>
              </w:rPr>
              <w:t>Required</w:t>
            </w:r>
          </w:p>
        </w:tc>
        <w:tc>
          <w:tcPr>
            <w:tcW w:type="dxa" w:w="7160"/>
            <w:vAlign w:val="center"/>
            <w:shd w:fill="F2F4F7"/>
          </w:tcPr>
          <w:p>
            <w:pPr>
              <w:spacing w:after="0"/>
            </w:pPr>
            <w:r>
              <w:rPr>
                <w:rFonts w:ascii="Calibri" w:hAnsi="Calibri"/>
                <w:b/>
              </w:rPr>
              <w:t>Description</w:t>
            </w:r>
          </w:p>
        </w:tc>
      </w:tr>
      <w:tr>
        <w:tc>
          <w:tcPr>
            <w:tcW w:type="dxa" w:w="1100"/>
            <w:vAlign w:val="center"/>
          </w:tcPr>
          <w:p>
            <w:pPr>
              <w:spacing w:after="0"/>
            </w:pPr>
            <w:r>
              <w:rPr>
                <w:rFonts w:ascii="Courier New" w:hAnsi="Courier New"/>
                <w:b w:val="0"/>
                <w:color w:val="1F4D78"/>
                <w:sz w:val="20"/>
              </w:rPr>
              <w:t>next</w:t>
            </w:r>
          </w:p>
        </w:tc>
        <w:tc>
          <w:tcPr>
            <w:tcW w:type="dxa" w:w="1100"/>
            <w:vAlign w:val="center"/>
          </w:tcPr>
          <w:p>
            <w:pPr>
              <w:spacing w:after="0"/>
            </w:pPr>
            <w:r>
              <w:rPr>
                <w:rFonts w:ascii="Calibri" w:hAnsi="Calibri"/>
                <w:b w:val="0"/>
              </w:rPr>
              <w:t>No</w:t>
            </w:r>
          </w:p>
        </w:tc>
        <w:tc>
          <w:tcPr>
            <w:tcW w:type="dxa" w:w="7160"/>
            <w:vAlign w:val="center"/>
          </w:tcPr>
          <w:p>
            <w:pPr>
              <w:spacing w:after="0"/>
            </w:pPr>
            <w:r>
              <w:rPr>
                <w:rFonts w:ascii="Calibri" w:hAnsi="Calibri"/>
                <w:b w:val="0"/>
              </w:rPr>
              <w:t xml:space="preserve">Internal redirect target. Absolute URLs and protocol-relative URLs are ignored and replaced with </w:t>
            </w:r>
            <w:r>
              <w:rPr>
                <w:rFonts w:ascii="Courier New" w:hAnsi="Courier New"/>
                <w:b w:val="0"/>
                <w:color w:val="1F4D78"/>
                <w:sz w:val="20"/>
              </w:rPr>
              <w:t>/dashboard</w:t>
            </w:r>
            <w:r>
              <w:rPr>
                <w:rFonts w:ascii="Calibri" w:hAnsi="Calibri"/>
                <w:b w:val="0"/>
              </w:rPr>
              <w:t>.</w:t>
            </w:r>
          </w:p>
        </w:tc>
      </w:tr>
    </w:tbl>
    <w:p>
      <w:pPr>
        <w:spacing w:after="40"/>
      </w:pPr>
    </w:p>
    <w:p>
      <w:r>
        <w:rPr>
          <w:rFonts w:ascii="Calibri" w:hAnsi="Calibri"/>
          <w:b w:val="0"/>
        </w:rPr>
        <w:t>Response:</w:t>
      </w:r>
    </w:p>
    <w:p>
      <w:pPr>
        <w:pStyle w:val="ListBullet"/>
      </w:pPr>
      <w:r>
        <w:rPr>
          <w:rFonts w:ascii="Courier New" w:hAnsi="Courier New"/>
          <w:b w:val="0"/>
          <w:color w:val="1F4D78"/>
          <w:sz w:val="20"/>
        </w:rPr>
        <w:t>302</w:t>
      </w:r>
      <w:r>
        <w:rPr>
          <w:rFonts w:ascii="Calibri" w:hAnsi="Calibri"/>
          <w:b w:val="0"/>
        </w:rPr>
        <w:t xml:space="preserve"> redirect to </w:t>
      </w:r>
      <w:r>
        <w:rPr>
          <w:rFonts w:ascii="Courier New" w:hAnsi="Courier New"/>
          <w:b w:val="0"/>
          <w:color w:val="1F4D78"/>
          <w:sz w:val="20"/>
        </w:rPr>
        <w:t>next</w:t>
      </w:r>
      <w:r>
        <w:rPr>
          <w:rFonts w:ascii="Calibri" w:hAnsi="Calibri"/>
          <w:b w:val="0"/>
        </w:rPr>
        <w:t xml:space="preserve"> or </w:t>
      </w:r>
      <w:r>
        <w:rPr>
          <w:rFonts w:ascii="Courier New" w:hAnsi="Courier New"/>
          <w:b w:val="0"/>
          <w:color w:val="1F4D78"/>
          <w:sz w:val="20"/>
        </w:rPr>
        <w:t>/dashboard</w:t>
      </w:r>
      <w:r>
        <w:rPr>
          <w:rFonts w:ascii="Calibri" w:hAnsi="Calibri"/>
          <w:b w:val="0"/>
        </w:rPr>
        <w:t>.</w:t>
      </w:r>
    </w:p>
    <w:p>
      <w:pPr>
        <w:pStyle w:val="ListBullet"/>
      </w:pPr>
      <w:r>
        <w:rPr>
          <w:rFonts w:ascii="Calibri" w:hAnsi="Calibri"/>
          <w:b w:val="0"/>
        </w:rPr>
        <w:t>Sets the demo auth cookie for 30 days.</w:t>
      </w:r>
    </w:p>
    <w:p>
      <w:pPr>
        <w:pStyle w:val="Heading2"/>
        <w:keepNext/>
      </w:pPr>
      <w:r>
        <w:t>Candidate Session APIs</w:t>
      </w:r>
    </w:p>
    <w:p>
      <w:r>
        <w:rPr>
          <w:rFonts w:ascii="Calibri" w:hAnsi="Calibri"/>
          <w:b w:val="0"/>
        </w:rPr>
        <w:t>All candidate session APIs use:</w:t>
      </w:r>
    </w:p>
    <w:p>
      <w:pPr>
        <w:spacing w:before="40" w:after="160"/>
      </w:pPr>
      <w:r>
        <w:rPr>
          <w:rFonts w:ascii="Courier New" w:hAnsi="Courier New"/>
          <w:color w:val="1F4D78"/>
          <w:sz w:val="18"/>
        </w:rPr>
        <w:t>/api/session/[sessionToken]/...</w:t>
      </w:r>
    </w:p>
    <w:p>
      <w:r>
        <w:rPr>
          <w:rFonts w:ascii="Calibri" w:hAnsi="Calibri"/>
          <w:b w:val="0"/>
        </w:rPr>
        <w:t xml:space="preserve">The server resolves </w:t>
      </w:r>
      <w:r>
        <w:rPr>
          <w:rFonts w:ascii="Courier New" w:hAnsi="Courier New"/>
          <w:b w:val="0"/>
          <w:color w:val="1F4D78"/>
          <w:sz w:val="20"/>
        </w:rPr>
        <w:t>[sessionToken]</w:t>
      </w:r>
      <w:r>
        <w:rPr>
          <w:rFonts w:ascii="Calibri" w:hAnsi="Calibri"/>
          <w:b w:val="0"/>
        </w:rPr>
        <w:t xml:space="preserve"> through its hashed token value and returns </w:t>
      </w:r>
      <w:r>
        <w:rPr>
          <w:rFonts w:ascii="Courier New" w:hAnsi="Courier New"/>
          <w:b w:val="0"/>
          <w:color w:val="1F4D78"/>
          <w:sz w:val="20"/>
        </w:rPr>
        <w:t>404</w:t>
      </w:r>
      <w:r>
        <w:rPr>
          <w:rFonts w:ascii="Calibri" w:hAnsi="Calibri"/>
          <w:b w:val="0"/>
        </w:rPr>
        <w:t xml:space="preserve"> when the token is unknown.</w:t>
      </w:r>
    </w:p>
    <w:p>
      <w:pPr>
        <w:pStyle w:val="Heading3"/>
        <w:keepNext/>
      </w:pPr>
      <w:r>
        <w:t>`POST /api/session/[sessionToken]/events`</w:t>
      </w:r>
    </w:p>
    <w:p>
      <w:r>
        <w:rPr>
          <w:rFonts w:ascii="Calibri" w:hAnsi="Calibri"/>
          <w:b w:val="0"/>
        </w:rPr>
        <w:t>Appends generic candidate/session telemetry.</w:t>
      </w:r>
    </w:p>
    <w:p>
      <w:r>
        <w:rPr>
          <w:rFonts w:ascii="Calibri" w:hAnsi="Calibri"/>
          <w:b w:val="0"/>
        </w:rPr>
        <w:t>Request body:</w:t>
      </w:r>
    </w:p>
    <w:p>
      <w:pPr>
        <w:spacing w:before="40" w:after="160"/>
      </w:pPr>
      <w:r>
        <w:rPr>
          <w:rFonts w:ascii="Courier New" w:hAnsi="Courier New"/>
          <w:color w:val="1F4D78"/>
          <w:sz w:val="18"/>
        </w:rPr>
        <w:t>{</w:t>
      </w:r>
      <w:r>
        <w:br/>
      </w:r>
      <w:r>
        <w:rPr>
          <w:rFonts w:ascii="Courier New" w:hAnsi="Courier New"/>
          <w:color w:val="1F4D78"/>
          <w:sz w:val="18"/>
        </w:rPr>
        <w:t xml:space="preserve">  "type": "file_opened",</w:t>
      </w:r>
      <w:r>
        <w:br/>
      </w:r>
      <w:r>
        <w:rPr>
          <w:rFonts w:ascii="Courier New" w:hAnsi="Courier New"/>
          <w:color w:val="1F4D78"/>
          <w:sz w:val="18"/>
        </w:rPr>
        <w:t xml:space="preserve">  "payload": {</w:t>
      </w:r>
      <w:r>
        <w:br/>
      </w:r>
      <w:r>
        <w:rPr>
          <w:rFonts w:ascii="Courier New" w:hAnsi="Courier New"/>
          <w:color w:val="1F4D78"/>
          <w:sz w:val="18"/>
        </w:rPr>
        <w:t xml:space="preserve">    "path": "src/cart.ts"</w:t>
      </w:r>
      <w:r>
        <w:br/>
      </w:r>
      <w:r>
        <w:rPr>
          <w:rFonts w:ascii="Courier New" w:hAnsi="Courier New"/>
          <w:color w:val="1F4D78"/>
          <w:sz w:val="18"/>
        </w:rPr>
        <w:t xml:space="preserve">  }</w:t>
      </w:r>
      <w:r>
        <w:br/>
      </w:r>
      <w:r>
        <w:rPr>
          <w:rFonts w:ascii="Courier New" w:hAnsi="Courier New"/>
          <w:color w:val="1F4D78"/>
          <w:sz w:val="18"/>
        </w:rPr>
        <w:t>}</w:t>
      </w:r>
    </w:p>
    <w:p>
      <w:r>
        <w:rPr>
          <w:rFonts w:ascii="Calibri" w:hAnsi="Calibri"/>
          <w:b w:val="0"/>
        </w:rPr>
        <w:t>Allowed event types: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3120"/>
        <w:gridCol w:w="3120"/>
        <w:gridCol w:w="3120"/>
      </w:tblGrid>
      <w:tr>
        <w:tc>
          <w:tcPr>
            <w:tcW w:type="dxa" w:w="2480"/>
            <w:vAlign w:val="center"/>
            <w:shd w:fill="F2F4F7"/>
          </w:tcPr>
          <w:p>
            <w:pPr>
              <w:spacing w:after="0"/>
            </w:pPr>
            <w:r>
              <w:rPr>
                <w:rFonts w:ascii="Calibri" w:hAnsi="Calibri"/>
                <w:b/>
              </w:rPr>
              <w:t>Type</w:t>
            </w:r>
          </w:p>
        </w:tc>
        <w:tc>
          <w:tcPr>
            <w:tcW w:type="dxa" w:w="2255"/>
            <w:vAlign w:val="center"/>
            <w:shd w:fill="F2F4F7"/>
          </w:tcPr>
          <w:p>
            <w:pPr>
              <w:spacing w:after="0"/>
            </w:pPr>
            <w:r>
              <w:rPr>
                <w:rFonts w:ascii="Calibri" w:hAnsi="Calibri"/>
                <w:b/>
              </w:rPr>
              <w:t>Actor written by API</w:t>
            </w:r>
          </w:p>
        </w:tc>
        <w:tc>
          <w:tcPr>
            <w:tcW w:type="dxa" w:w="4625"/>
            <w:vAlign w:val="center"/>
            <w:shd w:fill="F2F4F7"/>
          </w:tcPr>
          <w:p>
            <w:pPr>
              <w:spacing w:after="0"/>
            </w:pPr>
            <w:r>
              <w:rPr>
                <w:rFonts w:ascii="Calibri" w:hAnsi="Calibri"/>
                <w:b/>
              </w:rPr>
              <w:t>Purpose</w:t>
            </w:r>
          </w:p>
        </w:tc>
      </w:tr>
      <w:tr>
        <w:tc>
          <w:tcPr>
            <w:tcW w:type="dxa" w:w="2480"/>
            <w:vAlign w:val="center"/>
          </w:tcPr>
          <w:p>
            <w:pPr>
              <w:spacing w:after="0"/>
            </w:pPr>
            <w:r>
              <w:rPr>
                <w:rFonts w:ascii="Courier New" w:hAnsi="Courier New"/>
                <w:b w:val="0"/>
                <w:color w:val="1F4D78"/>
                <w:sz w:val="20"/>
              </w:rPr>
              <w:t>file_opened</w:t>
            </w:r>
          </w:p>
        </w:tc>
        <w:tc>
          <w:tcPr>
            <w:tcW w:type="dxa" w:w="2255"/>
            <w:vAlign w:val="center"/>
          </w:tcPr>
          <w:p>
            <w:pPr>
              <w:spacing w:after="0"/>
            </w:pPr>
            <w:r>
              <w:rPr>
                <w:rFonts w:ascii="Courier New" w:hAnsi="Courier New"/>
                <w:b w:val="0"/>
                <w:color w:val="1F4D78"/>
                <w:sz w:val="20"/>
              </w:rPr>
              <w:t>candidate</w:t>
            </w:r>
          </w:p>
        </w:tc>
        <w:tc>
          <w:tcPr>
            <w:tcW w:type="dxa" w:w="4625"/>
            <w:vAlign w:val="center"/>
          </w:tcPr>
          <w:p>
            <w:pPr>
              <w:spacing w:after="0"/>
            </w:pPr>
            <w:r>
              <w:rPr>
                <w:rFonts w:ascii="Calibri" w:hAnsi="Calibri"/>
                <w:b w:val="0"/>
              </w:rPr>
              <w:t>Candidate opened a file in the workspace.</w:t>
            </w:r>
          </w:p>
        </w:tc>
      </w:tr>
      <w:tr>
        <w:tc>
          <w:tcPr>
            <w:tcW w:type="dxa" w:w="2480"/>
            <w:vAlign w:val="center"/>
          </w:tcPr>
          <w:p>
            <w:pPr>
              <w:spacing w:after="0"/>
            </w:pPr>
            <w:r>
              <w:rPr>
                <w:rFonts w:ascii="Courier New" w:hAnsi="Courier New"/>
                <w:b w:val="0"/>
                <w:color w:val="1F4D78"/>
                <w:sz w:val="20"/>
              </w:rPr>
              <w:t>candidate_note_added</w:t>
            </w:r>
          </w:p>
        </w:tc>
        <w:tc>
          <w:tcPr>
            <w:tcW w:type="dxa" w:w="2255"/>
            <w:vAlign w:val="center"/>
          </w:tcPr>
          <w:p>
            <w:pPr>
              <w:spacing w:after="0"/>
            </w:pPr>
            <w:r>
              <w:rPr>
                <w:rFonts w:ascii="Courier New" w:hAnsi="Courier New"/>
                <w:b w:val="0"/>
                <w:color w:val="1F4D78"/>
                <w:sz w:val="20"/>
              </w:rPr>
              <w:t>candidate</w:t>
            </w:r>
          </w:p>
        </w:tc>
        <w:tc>
          <w:tcPr>
            <w:tcW w:type="dxa" w:w="4625"/>
            <w:vAlign w:val="center"/>
          </w:tcPr>
          <w:p>
            <w:pPr>
              <w:spacing w:after="0"/>
            </w:pPr>
            <w:r>
              <w:rPr>
                <w:rFonts w:ascii="Calibri" w:hAnsi="Calibri"/>
                <w:b w:val="0"/>
              </w:rPr>
              <w:t>Candidate added a note.</w:t>
            </w:r>
          </w:p>
        </w:tc>
      </w:tr>
      <w:tr>
        <w:tc>
          <w:tcPr>
            <w:tcW w:type="dxa" w:w="2480"/>
            <w:vAlign w:val="center"/>
          </w:tcPr>
          <w:p>
            <w:pPr>
              <w:spacing w:after="0"/>
            </w:pPr>
            <w:r>
              <w:rPr>
                <w:rFonts w:ascii="Courier New" w:hAnsi="Courier New"/>
                <w:b w:val="0"/>
                <w:color w:val="1F4D78"/>
                <w:sz w:val="20"/>
              </w:rPr>
              <w:t>focus_changed</w:t>
            </w:r>
          </w:p>
        </w:tc>
        <w:tc>
          <w:tcPr>
            <w:tcW w:type="dxa" w:w="2255"/>
            <w:vAlign w:val="center"/>
          </w:tcPr>
          <w:p>
            <w:pPr>
              <w:spacing w:after="0"/>
            </w:pPr>
            <w:r>
              <w:rPr>
                <w:rFonts w:ascii="Courier New" w:hAnsi="Courier New"/>
                <w:b w:val="0"/>
                <w:color w:val="1F4D78"/>
                <w:sz w:val="20"/>
              </w:rPr>
              <w:t>candidate</w:t>
            </w:r>
          </w:p>
        </w:tc>
        <w:tc>
          <w:tcPr>
            <w:tcW w:type="dxa" w:w="4625"/>
            <w:vAlign w:val="center"/>
          </w:tcPr>
          <w:p>
            <w:pPr>
              <w:spacing w:after="0"/>
            </w:pPr>
            <w:r>
              <w:rPr>
                <w:rFonts w:ascii="Calibri" w:hAnsi="Calibri"/>
                <w:b w:val="0"/>
              </w:rPr>
              <w:t>Browser focus/state changed.</w:t>
            </w:r>
          </w:p>
        </w:tc>
      </w:tr>
      <w:tr>
        <w:tc>
          <w:tcPr>
            <w:tcW w:type="dxa" w:w="2480"/>
            <w:vAlign w:val="center"/>
          </w:tcPr>
          <w:p>
            <w:pPr>
              <w:spacing w:after="0"/>
            </w:pPr>
            <w:r>
              <w:rPr>
                <w:rFonts w:ascii="Courier New" w:hAnsi="Courier New"/>
                <w:b w:val="0"/>
                <w:color w:val="1F4D78"/>
                <w:sz w:val="20"/>
              </w:rPr>
              <w:t>error_occurred</w:t>
            </w:r>
          </w:p>
        </w:tc>
        <w:tc>
          <w:tcPr>
            <w:tcW w:type="dxa" w:w="2255"/>
            <w:vAlign w:val="center"/>
          </w:tcPr>
          <w:p>
            <w:pPr>
              <w:spacing w:after="0"/>
            </w:pPr>
            <w:r>
              <w:rPr>
                <w:rFonts w:ascii="Courier New" w:hAnsi="Courier New"/>
                <w:b w:val="0"/>
                <w:color w:val="1F4D78"/>
                <w:sz w:val="20"/>
              </w:rPr>
              <w:t>system</w:t>
            </w:r>
          </w:p>
        </w:tc>
        <w:tc>
          <w:tcPr>
            <w:tcW w:type="dxa" w:w="4625"/>
            <w:vAlign w:val="center"/>
          </w:tcPr>
          <w:p>
            <w:pPr>
              <w:spacing w:after="0"/>
            </w:pPr>
            <w:r>
              <w:rPr>
                <w:rFonts w:ascii="Calibri" w:hAnsi="Calibri"/>
                <w:b w:val="0"/>
              </w:rPr>
              <w:t>Client or platform error event.</w:t>
            </w:r>
          </w:p>
        </w:tc>
      </w:tr>
    </w:tbl>
    <w:p>
      <w:pPr>
        <w:spacing w:after="40"/>
      </w:pPr>
    </w:p>
    <w:p>
      <w:r>
        <w:rPr>
          <w:rFonts w:ascii="Calibri" w:hAnsi="Calibri"/>
          <w:b w:val="0"/>
        </w:rPr>
        <w:t>Response:</w:t>
      </w:r>
    </w:p>
    <w:p>
      <w:pPr>
        <w:spacing w:before="40" w:after="160"/>
      </w:pPr>
      <w:r>
        <w:rPr>
          <w:rFonts w:ascii="Courier New" w:hAnsi="Courier New"/>
          <w:color w:val="1F4D78"/>
          <w:sz w:val="18"/>
        </w:rPr>
        <w:t>{</w:t>
      </w:r>
      <w:r>
        <w:br/>
      </w:r>
      <w:r>
        <w:rPr>
          <w:rFonts w:ascii="Courier New" w:hAnsi="Courier New"/>
          <w:color w:val="1F4D78"/>
          <w:sz w:val="18"/>
        </w:rPr>
        <w:t xml:space="preserve">  "eventId": "evt_id"</w:t>
      </w:r>
      <w:r>
        <w:br/>
      </w:r>
      <w:r>
        <w:rPr>
          <w:rFonts w:ascii="Courier New" w:hAnsi="Courier New"/>
          <w:color w:val="1F4D78"/>
          <w:sz w:val="18"/>
        </w:rPr>
        <w:t>}</w:t>
      </w:r>
    </w:p>
    <w:p>
      <w:pPr>
        <w:pStyle w:val="Heading3"/>
        <w:keepNext/>
      </w:pPr>
      <w:r>
        <w:t>`POST /api/session/[sessionToken]/files`</w:t>
      </w:r>
    </w:p>
    <w:p>
      <w:r>
        <w:rPr>
          <w:rFonts w:ascii="Calibri" w:hAnsi="Calibri"/>
          <w:b w:val="0"/>
        </w:rPr>
        <w:t>Saves a candidate file snapshot after server-side workspace path validation.</w:t>
      </w:r>
    </w:p>
    <w:p>
      <w:r>
        <w:rPr>
          <w:rFonts w:ascii="Calibri" w:hAnsi="Calibri"/>
          <w:b w:val="0"/>
        </w:rPr>
        <w:t>Request body:</w:t>
      </w:r>
    </w:p>
    <w:p>
      <w:pPr>
        <w:spacing w:before="40" w:after="160"/>
      </w:pPr>
      <w:r>
        <w:rPr>
          <w:rFonts w:ascii="Courier New" w:hAnsi="Courier New"/>
          <w:color w:val="1F4D78"/>
          <w:sz w:val="18"/>
        </w:rPr>
        <w:t>{</w:t>
      </w:r>
      <w:r>
        <w:br/>
      </w:r>
      <w:r>
        <w:rPr>
          <w:rFonts w:ascii="Courier New" w:hAnsi="Courier New"/>
          <w:color w:val="1F4D78"/>
          <w:sz w:val="18"/>
        </w:rPr>
        <w:t xml:space="preserve">  "path": "src/cart.ts",</w:t>
      </w:r>
      <w:r>
        <w:br/>
      </w:r>
      <w:r>
        <w:rPr>
          <w:rFonts w:ascii="Courier New" w:hAnsi="Courier New"/>
          <w:color w:val="1F4D78"/>
          <w:sz w:val="18"/>
        </w:rPr>
        <w:t xml:space="preserve">  "content": "export function validateCart() { ... }",</w:t>
      </w:r>
      <w:r>
        <w:br/>
      </w:r>
      <w:r>
        <w:rPr>
          <w:rFonts w:ascii="Courier New" w:hAnsi="Courier New"/>
          <w:color w:val="1F4D78"/>
          <w:sz w:val="18"/>
        </w:rPr>
        <w:t xml:space="preserve">  "language": "typescript"</w:t>
      </w:r>
      <w:r>
        <w:br/>
      </w:r>
      <w:r>
        <w:rPr>
          <w:rFonts w:ascii="Courier New" w:hAnsi="Courier New"/>
          <w:color w:val="1F4D78"/>
          <w:sz w:val="18"/>
        </w:rPr>
        <w:t>}</w:t>
      </w:r>
    </w:p>
    <w:p>
      <w:r>
        <w:rPr>
          <w:rFonts w:ascii="Calibri" w:hAnsi="Calibri"/>
          <w:b w:val="0"/>
        </w:rPr>
        <w:t>Path rules:</w:t>
      </w:r>
    </w:p>
    <w:p>
      <w:pPr>
        <w:pStyle w:val="ListBullet"/>
      </w:pPr>
      <w:r>
        <w:rPr>
          <w:rFonts w:ascii="Calibri" w:hAnsi="Calibri"/>
          <w:b w:val="0"/>
        </w:rPr>
        <w:t>Relative workspace paths only.</w:t>
      </w:r>
    </w:p>
    <w:p>
      <w:pPr>
        <w:pStyle w:val="ListBullet"/>
      </w:pPr>
      <w:r>
        <w:rPr>
          <w:rFonts w:ascii="Calibri" w:hAnsi="Calibri"/>
          <w:b w:val="0"/>
        </w:rPr>
        <w:t xml:space="preserve">Absolute paths, traversal paths, empty paths, and reserved roots such as </w:t>
      </w:r>
      <w:r>
        <w:rPr>
          <w:rFonts w:ascii="Courier New" w:hAnsi="Courier New"/>
          <w:b w:val="0"/>
          <w:color w:val="1F4D78"/>
          <w:sz w:val="20"/>
        </w:rPr>
        <w:t>.git</w:t>
      </w:r>
      <w:r>
        <w:rPr>
          <w:rFonts w:ascii="Calibri" w:hAnsi="Calibri"/>
          <w:b w:val="0"/>
        </w:rPr>
        <w:t xml:space="preserve">, </w:t>
      </w:r>
      <w:r>
        <w:rPr>
          <w:rFonts w:ascii="Courier New" w:hAnsi="Courier New"/>
          <w:b w:val="0"/>
          <w:color w:val="1F4D78"/>
          <w:sz w:val="20"/>
        </w:rPr>
        <w:t>.hirewave</w:t>
      </w:r>
      <w:r>
        <w:rPr>
          <w:rFonts w:ascii="Calibri" w:hAnsi="Calibri"/>
          <w:b w:val="0"/>
        </w:rPr>
        <w:t xml:space="preserve">, and </w:t>
      </w:r>
      <w:r>
        <w:rPr>
          <w:rFonts w:ascii="Courier New" w:hAnsi="Courier New"/>
          <w:b w:val="0"/>
          <w:color w:val="1F4D78"/>
          <w:sz w:val="20"/>
        </w:rPr>
        <w:t>node_modules</w:t>
      </w:r>
      <w:r>
        <w:rPr>
          <w:rFonts w:ascii="Calibri" w:hAnsi="Calibri"/>
          <w:b w:val="0"/>
        </w:rPr>
        <w:t xml:space="preserve"> are rejected.</w:t>
      </w:r>
    </w:p>
    <w:p>
      <w:pPr>
        <w:pStyle w:val="ListBullet"/>
      </w:pPr>
      <w:r>
        <w:rPr>
          <w:rFonts w:ascii="Calibri" w:hAnsi="Calibri"/>
          <w:b w:val="0"/>
        </w:rPr>
        <w:t xml:space="preserve">Closed sessions return </w:t>
      </w:r>
      <w:r>
        <w:rPr>
          <w:rFonts w:ascii="Courier New" w:hAnsi="Courier New"/>
          <w:b w:val="0"/>
          <w:color w:val="1F4D78"/>
          <w:sz w:val="20"/>
        </w:rPr>
        <w:t>409</w:t>
      </w:r>
      <w:r>
        <w:rPr>
          <w:rFonts w:ascii="Calibri" w:hAnsi="Calibri"/>
          <w:b w:val="0"/>
        </w:rPr>
        <w:t>.</w:t>
      </w:r>
    </w:p>
    <w:p>
      <w:r>
        <w:rPr>
          <w:rFonts w:ascii="Calibri" w:hAnsi="Calibri"/>
          <w:b w:val="0"/>
        </w:rPr>
        <w:t>Response:</w:t>
      </w:r>
    </w:p>
    <w:p>
      <w:pPr>
        <w:spacing w:before="40" w:after="160"/>
      </w:pPr>
      <w:r>
        <w:rPr>
          <w:rFonts w:ascii="Courier New" w:hAnsi="Courier New"/>
          <w:color w:val="1F4D78"/>
          <w:sz w:val="18"/>
        </w:rPr>
        <w:t>{</w:t>
      </w:r>
      <w:r>
        <w:br/>
      </w:r>
      <w:r>
        <w:rPr>
          <w:rFonts w:ascii="Courier New" w:hAnsi="Courier New"/>
          <w:color w:val="1F4D78"/>
          <w:sz w:val="18"/>
        </w:rPr>
        <w:t xml:space="preserve">  "snapshot": {</w:t>
      </w:r>
      <w:r>
        <w:br/>
      </w:r>
      <w:r>
        <w:rPr>
          <w:rFonts w:ascii="Courier New" w:hAnsi="Courier New"/>
          <w:color w:val="1F4D78"/>
          <w:sz w:val="18"/>
        </w:rPr>
        <w:t xml:space="preserve">    "id": "snapshot_id",</w:t>
      </w:r>
      <w:r>
        <w:br/>
      </w:r>
      <w:r>
        <w:rPr>
          <w:rFonts w:ascii="Courier New" w:hAnsi="Courier New"/>
          <w:color w:val="1F4D78"/>
          <w:sz w:val="18"/>
        </w:rPr>
        <w:t xml:space="preserve">    "path": "src/cart.ts",</w:t>
      </w:r>
      <w:r>
        <w:br/>
      </w:r>
      <w:r>
        <w:rPr>
          <w:rFonts w:ascii="Courier New" w:hAnsi="Courier New"/>
          <w:color w:val="1F4D78"/>
          <w:sz w:val="18"/>
        </w:rPr>
        <w:t xml:space="preserve">    "version": 2,</w:t>
      </w:r>
      <w:r>
        <w:br/>
      </w:r>
      <w:r>
        <w:rPr>
          <w:rFonts w:ascii="Courier New" w:hAnsi="Courier New"/>
          <w:color w:val="1F4D78"/>
          <w:sz w:val="18"/>
        </w:rPr>
        <w:t xml:space="preserve">    "createdAt": "2026-05-18T00:00:00.000Z"</w:t>
      </w:r>
      <w:r>
        <w:br/>
      </w:r>
      <w:r>
        <w:rPr>
          <w:rFonts w:ascii="Courier New" w:hAnsi="Courier New"/>
          <w:color w:val="1F4D78"/>
          <w:sz w:val="18"/>
        </w:rPr>
        <w:t xml:space="preserve">  }</w:t>
      </w:r>
      <w:r>
        <w:br/>
      </w:r>
      <w:r>
        <w:rPr>
          <w:rFonts w:ascii="Courier New" w:hAnsi="Courier New"/>
          <w:color w:val="1F4D78"/>
          <w:sz w:val="18"/>
        </w:rPr>
        <w:t>}</w:t>
      </w:r>
    </w:p>
    <w:p>
      <w:pPr>
        <w:pStyle w:val="Heading3"/>
        <w:keepNext/>
      </w:pPr>
      <w:r>
        <w:t>`POST /api/session/[sessionToken]/commands`</w:t>
      </w:r>
    </w:p>
    <w:p>
      <w:r>
        <w:rPr>
          <w:rFonts w:ascii="Calibri" w:hAnsi="Calibri"/>
          <w:b w:val="0"/>
        </w:rPr>
        <w:t>Runs a command through the configured sandbox provider adapter and stores command/test evidence.</w:t>
      </w:r>
    </w:p>
    <w:p>
      <w:r>
        <w:rPr>
          <w:rFonts w:ascii="Calibri" w:hAnsi="Calibri"/>
          <w:b w:val="0"/>
        </w:rPr>
        <w:t>Request body:</w:t>
      </w:r>
    </w:p>
    <w:p>
      <w:pPr>
        <w:spacing w:before="40" w:after="160"/>
      </w:pPr>
      <w:r>
        <w:rPr>
          <w:rFonts w:ascii="Courier New" w:hAnsi="Courier New"/>
          <w:color w:val="1F4D78"/>
          <w:sz w:val="18"/>
        </w:rPr>
        <w:t>{</w:t>
      </w:r>
      <w:r>
        <w:br/>
      </w:r>
      <w:r>
        <w:rPr>
          <w:rFonts w:ascii="Courier New" w:hAnsi="Courier New"/>
          <w:color w:val="1F4D78"/>
          <w:sz w:val="18"/>
        </w:rPr>
        <w:t xml:space="preserve">  "command": "npm test"</w:t>
      </w:r>
      <w:r>
        <w:br/>
      </w:r>
      <w:r>
        <w:rPr>
          <w:rFonts w:ascii="Courier New" w:hAnsi="Courier New"/>
          <w:color w:val="1F4D78"/>
          <w:sz w:val="18"/>
        </w:rPr>
        <w:t>}</w:t>
      </w:r>
    </w:p>
    <w:p>
      <w:r>
        <w:rPr>
          <w:rFonts w:ascii="Calibri" w:hAnsi="Calibri"/>
          <w:b w:val="0"/>
        </w:rPr>
        <w:t>Default MVP commands: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1369"/>
            <w:vAlign w:val="center"/>
            <w:shd w:fill="F2F4F7"/>
          </w:tcPr>
          <w:p>
            <w:pPr>
              <w:spacing w:after="0"/>
            </w:pPr>
            <w:r>
              <w:rPr>
                <w:rFonts w:ascii="Calibri" w:hAnsi="Calibri"/>
                <w:b/>
              </w:rPr>
              <w:t>Command</w:t>
            </w:r>
          </w:p>
        </w:tc>
        <w:tc>
          <w:tcPr>
            <w:tcW w:type="dxa" w:w="7991"/>
            <w:vAlign w:val="center"/>
            <w:shd w:fill="F2F4F7"/>
          </w:tcPr>
          <w:p>
            <w:pPr>
              <w:spacing w:after="0"/>
            </w:pPr>
            <w:r>
              <w:rPr>
                <w:rFonts w:ascii="Calibri" w:hAnsi="Calibri"/>
                <w:b/>
              </w:rPr>
              <w:t>Behavior</w:t>
            </w:r>
          </w:p>
        </w:tc>
      </w:tr>
      <w:tr>
        <w:tc>
          <w:tcPr>
            <w:tcW w:type="dxa" w:w="1369"/>
            <w:vAlign w:val="center"/>
          </w:tcPr>
          <w:p>
            <w:pPr>
              <w:spacing w:after="0"/>
            </w:pPr>
            <w:r>
              <w:rPr>
                <w:rFonts w:ascii="Courier New" w:hAnsi="Courier New"/>
                <w:b w:val="0"/>
                <w:color w:val="1F4D78"/>
                <w:sz w:val="20"/>
              </w:rPr>
              <w:t>npm test</w:t>
            </w:r>
          </w:p>
        </w:tc>
        <w:tc>
          <w:tcPr>
            <w:tcW w:type="dxa" w:w="7991"/>
            <w:vAlign w:val="center"/>
          </w:tcPr>
          <w:p>
            <w:pPr>
              <w:spacing w:after="0"/>
            </w:pPr>
            <w:r>
              <w:rPr>
                <w:rFonts w:ascii="Calibri" w:hAnsi="Calibri"/>
                <w:b w:val="0"/>
              </w:rPr>
              <w:t>Runs deterministic checkout tests for the checkout template, or generic evidence checks for non-checkout/custom templates.</w:t>
            </w:r>
          </w:p>
        </w:tc>
      </w:tr>
      <w:tr>
        <w:tc>
          <w:tcPr>
            <w:tcW w:type="dxa" w:w="1369"/>
            <w:vAlign w:val="center"/>
          </w:tcPr>
          <w:p>
            <w:pPr>
              <w:spacing w:after="0"/>
            </w:pPr>
            <w:r>
              <w:rPr>
                <w:rFonts w:ascii="Courier New" w:hAnsi="Courier New"/>
                <w:b w:val="0"/>
                <w:color w:val="1F4D78"/>
                <w:sz w:val="20"/>
              </w:rPr>
              <w:t>ls</w:t>
            </w:r>
          </w:p>
        </w:tc>
        <w:tc>
          <w:tcPr>
            <w:tcW w:type="dxa" w:w="7991"/>
            <w:vAlign w:val="center"/>
          </w:tcPr>
          <w:p>
            <w:pPr>
              <w:spacing w:after="0"/>
            </w:pPr>
            <w:r>
              <w:rPr>
                <w:rFonts w:ascii="Calibri" w:hAnsi="Calibri"/>
                <w:b w:val="0"/>
              </w:rPr>
              <w:t>Lists the virtual workspace root.</w:t>
            </w:r>
          </w:p>
        </w:tc>
      </w:tr>
      <w:tr>
        <w:tc>
          <w:tcPr>
            <w:tcW w:type="dxa" w:w="1369"/>
            <w:vAlign w:val="center"/>
          </w:tcPr>
          <w:p>
            <w:pPr>
              <w:spacing w:after="0"/>
            </w:pPr>
            <w:r>
              <w:rPr>
                <w:rFonts w:ascii="Courier New" w:hAnsi="Courier New"/>
                <w:b w:val="0"/>
                <w:color w:val="1F4D78"/>
                <w:sz w:val="20"/>
              </w:rPr>
              <w:t>ls src</w:t>
            </w:r>
          </w:p>
        </w:tc>
        <w:tc>
          <w:tcPr>
            <w:tcW w:type="dxa" w:w="7991"/>
            <w:vAlign w:val="center"/>
          </w:tcPr>
          <w:p>
            <w:pPr>
              <w:spacing w:after="0"/>
            </w:pPr>
            <w:r>
              <w:rPr>
                <w:rFonts w:ascii="Calibri" w:hAnsi="Calibri"/>
                <w:b w:val="0"/>
              </w:rPr>
              <w:t xml:space="preserve">Lists the virtual </w:t>
            </w:r>
            <w:r>
              <w:rPr>
                <w:rFonts w:ascii="Courier New" w:hAnsi="Courier New"/>
                <w:b w:val="0"/>
                <w:color w:val="1F4D78"/>
                <w:sz w:val="20"/>
              </w:rPr>
              <w:t>src</w:t>
            </w:r>
            <w:r>
              <w:rPr>
                <w:rFonts w:ascii="Calibri" w:hAnsi="Calibri"/>
                <w:b w:val="0"/>
              </w:rPr>
              <w:t xml:space="preserve"> directory.</w:t>
            </w:r>
          </w:p>
        </w:tc>
      </w:tr>
      <w:tr>
        <w:tc>
          <w:tcPr>
            <w:tcW w:type="dxa" w:w="1369"/>
            <w:vAlign w:val="center"/>
          </w:tcPr>
          <w:p>
            <w:pPr>
              <w:spacing w:after="0"/>
            </w:pPr>
            <w:r>
              <w:rPr>
                <w:rFonts w:ascii="Courier New" w:hAnsi="Courier New"/>
                <w:b w:val="0"/>
                <w:color w:val="1F4D78"/>
                <w:sz w:val="20"/>
              </w:rPr>
              <w:t>cat &lt;path&gt;</w:t>
            </w:r>
          </w:p>
        </w:tc>
        <w:tc>
          <w:tcPr>
            <w:tcW w:type="dxa" w:w="7991"/>
            <w:vAlign w:val="center"/>
          </w:tcPr>
          <w:p>
            <w:pPr>
              <w:spacing w:after="0"/>
            </w:pPr>
            <w:r>
              <w:rPr>
                <w:rFonts w:ascii="Calibri" w:hAnsi="Calibri"/>
                <w:b w:val="0"/>
              </w:rPr>
              <w:t>Prints a validated workspace file.</w:t>
            </w:r>
          </w:p>
        </w:tc>
      </w:tr>
      <w:tr>
        <w:tc>
          <w:tcPr>
            <w:tcW w:type="dxa" w:w="1369"/>
            <w:vAlign w:val="center"/>
          </w:tcPr>
          <w:p>
            <w:pPr>
              <w:spacing w:after="0"/>
            </w:pPr>
            <w:r>
              <w:rPr>
                <w:rFonts w:ascii="Courier New" w:hAnsi="Courier New"/>
                <w:b w:val="0"/>
                <w:color w:val="1F4D78"/>
                <w:sz w:val="20"/>
              </w:rPr>
              <w:t>pwd</w:t>
            </w:r>
          </w:p>
        </w:tc>
        <w:tc>
          <w:tcPr>
            <w:tcW w:type="dxa" w:w="7991"/>
            <w:vAlign w:val="center"/>
          </w:tcPr>
          <w:p>
            <w:pPr>
              <w:spacing w:after="0"/>
            </w:pPr>
            <w:r>
              <w:rPr>
                <w:rFonts w:ascii="Calibri" w:hAnsi="Calibri"/>
                <w:b w:val="0"/>
              </w:rPr>
              <w:t>Prints the virtual workspace path.</w:t>
            </w:r>
          </w:p>
        </w:tc>
      </w:tr>
    </w:tbl>
    <w:p>
      <w:pPr>
        <w:spacing w:after="40"/>
      </w:pPr>
    </w:p>
    <w:p>
      <w:r>
        <w:rPr>
          <w:rFonts w:ascii="Calibri" w:hAnsi="Calibri"/>
          <w:b w:val="0"/>
        </w:rPr>
        <w:t>Provider selection:</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4542"/>
            <w:vAlign w:val="center"/>
            <w:shd w:fill="F2F4F7"/>
          </w:tcPr>
          <w:p>
            <w:pPr>
              <w:spacing w:after="0"/>
            </w:pPr>
            <w:r>
              <w:rPr>
                <w:rFonts w:ascii="Calibri" w:hAnsi="Calibri"/>
                <w:b/>
              </w:rPr>
              <w:t>Environment</w:t>
            </w:r>
          </w:p>
        </w:tc>
        <w:tc>
          <w:tcPr>
            <w:tcW w:type="dxa" w:w="4818"/>
            <w:vAlign w:val="center"/>
            <w:shd w:fill="F2F4F7"/>
          </w:tcPr>
          <w:p>
            <w:pPr>
              <w:spacing w:after="0"/>
            </w:pPr>
            <w:r>
              <w:rPr>
                <w:rFonts w:ascii="Calibri" w:hAnsi="Calibri"/>
                <w:b/>
              </w:rPr>
              <w:t>Behavior</w:t>
            </w:r>
          </w:p>
        </w:tc>
      </w:tr>
      <w:tr>
        <w:tc>
          <w:tcPr>
            <w:tcW w:type="dxa" w:w="4542"/>
            <w:vAlign w:val="center"/>
          </w:tcPr>
          <w:p>
            <w:pPr>
              <w:spacing w:after="0"/>
            </w:pPr>
            <w:r>
              <w:rPr>
                <w:rFonts w:ascii="Courier New" w:hAnsi="Courier New"/>
                <w:b w:val="0"/>
                <w:color w:val="1F4D78"/>
                <w:sz w:val="20"/>
              </w:rPr>
              <w:t>SANDBOX_PROVIDER=simulated</w:t>
            </w:r>
            <w:r>
              <w:rPr>
                <w:rFonts w:ascii="Calibri" w:hAnsi="Calibri"/>
                <w:b w:val="0"/>
              </w:rPr>
              <w:t xml:space="preserve"> or unset</w:t>
            </w:r>
          </w:p>
        </w:tc>
        <w:tc>
          <w:tcPr>
            <w:tcW w:type="dxa" w:w="4818"/>
            <w:vAlign w:val="center"/>
          </w:tcPr>
          <w:p>
            <w:pPr>
              <w:spacing w:after="0"/>
            </w:pPr>
            <w:r>
              <w:rPr>
                <w:rFonts w:ascii="Calibri" w:hAnsi="Calibri"/>
                <w:b w:val="0"/>
              </w:rPr>
              <w:t>Default deterministic provider; no arbitrary untrusted code execution.</w:t>
            </w:r>
          </w:p>
        </w:tc>
      </w:tr>
      <w:tr>
        <w:tc>
          <w:tcPr>
            <w:tcW w:type="dxa" w:w="4542"/>
            <w:vAlign w:val="center"/>
          </w:tcPr>
          <w:p>
            <w:pPr>
              <w:spacing w:after="0"/>
            </w:pPr>
            <w:r>
              <w:rPr>
                <w:rFonts w:ascii="Courier New" w:hAnsi="Courier New"/>
                <w:b w:val="0"/>
                <w:color w:val="1F4D78"/>
                <w:sz w:val="20"/>
              </w:rPr>
              <w:t>SANDBOX_PROVIDER=local-dev</w:t>
            </w:r>
            <w:r>
              <w:rPr>
                <w:rFonts w:ascii="Calibri" w:hAnsi="Calibri"/>
                <w:b w:val="0"/>
              </w:rPr>
              <w:t xml:space="preserve"> with </w:t>
            </w:r>
            <w:r>
              <w:rPr>
                <w:rFonts w:ascii="Courier New" w:hAnsi="Courier New"/>
                <w:b w:val="0"/>
                <w:color w:val="1F4D78"/>
                <w:sz w:val="20"/>
              </w:rPr>
              <w:t>SANDBOX_LOCAL_DEV_ENABLED=true</w:t>
            </w:r>
          </w:p>
        </w:tc>
        <w:tc>
          <w:tcPr>
            <w:tcW w:type="dxa" w:w="4818"/>
            <w:vAlign w:val="center"/>
          </w:tcPr>
          <w:p>
            <w:pPr>
              <w:spacing w:after="0"/>
            </w:pPr>
            <w:r>
              <w:rPr>
                <w:rFonts w:ascii="Calibri" w:hAnsi="Calibri"/>
                <w:b w:val="0"/>
              </w:rPr>
              <w:t>Local development-only host temp workspace with exact command allowlist.</w:t>
            </w:r>
          </w:p>
        </w:tc>
      </w:tr>
      <w:tr>
        <w:tc>
          <w:tcPr>
            <w:tcW w:type="dxa" w:w="4542"/>
            <w:vAlign w:val="center"/>
          </w:tcPr>
          <w:p>
            <w:pPr>
              <w:spacing w:after="0"/>
            </w:pPr>
            <w:r>
              <w:rPr>
                <w:rFonts w:ascii="Courier New" w:hAnsi="Courier New"/>
                <w:b w:val="0"/>
                <w:color w:val="1F4D78"/>
                <w:sz w:val="20"/>
              </w:rPr>
              <w:t>SANDBOX_PROVIDER=external</w:t>
            </w:r>
            <w:r>
              <w:rPr>
                <w:rFonts w:ascii="Calibri" w:hAnsi="Calibri"/>
                <w:b w:val="0"/>
              </w:rPr>
              <w:t xml:space="preserve">, </w:t>
            </w:r>
            <w:r>
              <w:rPr>
                <w:rFonts w:ascii="Courier New" w:hAnsi="Courier New"/>
                <w:b w:val="0"/>
                <w:color w:val="1F4D78"/>
                <w:sz w:val="20"/>
              </w:rPr>
              <w:t>e2b</w:t>
            </w:r>
            <w:r>
              <w:rPr>
                <w:rFonts w:ascii="Calibri" w:hAnsi="Calibri"/>
                <w:b w:val="0"/>
              </w:rPr>
              <w:t xml:space="preserve">, </w:t>
            </w:r>
            <w:r>
              <w:rPr>
                <w:rFonts w:ascii="Courier New" w:hAnsi="Courier New"/>
                <w:b w:val="0"/>
                <w:color w:val="1F4D78"/>
                <w:sz w:val="20"/>
              </w:rPr>
              <w:t>daytona</w:t>
            </w:r>
            <w:r>
              <w:rPr>
                <w:rFonts w:ascii="Calibri" w:hAnsi="Calibri"/>
                <w:b w:val="0"/>
              </w:rPr>
              <w:t xml:space="preserve">, or </w:t>
            </w:r>
            <w:r>
              <w:rPr>
                <w:rFonts w:ascii="Courier New" w:hAnsi="Courier New"/>
                <w:b w:val="0"/>
                <w:color w:val="1F4D78"/>
                <w:sz w:val="20"/>
              </w:rPr>
              <w:t>codesandbox</w:t>
            </w:r>
          </w:p>
        </w:tc>
        <w:tc>
          <w:tcPr>
            <w:tcW w:type="dxa" w:w="4818"/>
            <w:vAlign w:val="center"/>
          </w:tcPr>
          <w:p>
            <w:pPr>
              <w:spacing w:after="0"/>
            </w:pPr>
            <w:r>
              <w:rPr>
                <w:rFonts w:ascii="Calibri" w:hAnsi="Calibri"/>
                <w:b w:val="0"/>
              </w:rPr>
              <w:t xml:space="preserve">Configuration placeholder that fails closed with </w:t>
            </w:r>
            <w:r>
              <w:rPr>
                <w:rFonts w:ascii="Courier New" w:hAnsi="Courier New"/>
                <w:b w:val="0"/>
                <w:color w:val="1F4D78"/>
                <w:sz w:val="20"/>
              </w:rPr>
              <w:t>external_provider_unconfigured</w:t>
            </w:r>
            <w:r>
              <w:rPr>
                <w:rFonts w:ascii="Calibri" w:hAnsi="Calibri"/>
                <w:b w:val="0"/>
              </w:rPr>
              <w:t xml:space="preserve"> until a real adapter exists.</w:t>
            </w:r>
          </w:p>
        </w:tc>
      </w:tr>
    </w:tbl>
    <w:p>
      <w:pPr>
        <w:spacing w:after="40"/>
      </w:pPr>
    </w:p>
    <w:p>
      <w:r>
        <w:rPr>
          <w:rFonts w:ascii="Calibri" w:hAnsi="Calibri"/>
          <w:b w:val="0"/>
        </w:rPr>
        <w:t>Response shape:</w:t>
      </w:r>
    </w:p>
    <w:p>
      <w:pPr>
        <w:spacing w:before="40" w:after="160"/>
      </w:pPr>
      <w:r>
        <w:rPr>
          <w:rFonts w:ascii="Courier New" w:hAnsi="Courier New"/>
          <w:color w:val="1F4D78"/>
          <w:sz w:val="18"/>
        </w:rPr>
        <w:t>{</w:t>
      </w:r>
      <w:r>
        <w:br/>
      </w:r>
      <w:r>
        <w:rPr>
          <w:rFonts w:ascii="Courier New" w:hAnsi="Courier New"/>
          <w:color w:val="1F4D78"/>
          <w:sz w:val="18"/>
        </w:rPr>
        <w:t xml:space="preserve">  "commandRun": {</w:t>
      </w:r>
      <w:r>
        <w:br/>
      </w:r>
      <w:r>
        <w:rPr>
          <w:rFonts w:ascii="Courier New" w:hAnsi="Courier New"/>
          <w:color w:val="1F4D78"/>
          <w:sz w:val="18"/>
        </w:rPr>
        <w:t xml:space="preserve">    "id": "command_id",</w:t>
      </w:r>
      <w:r>
        <w:br/>
      </w:r>
      <w:r>
        <w:rPr>
          <w:rFonts w:ascii="Courier New" w:hAnsi="Courier New"/>
          <w:color w:val="1F4D78"/>
          <w:sz w:val="18"/>
        </w:rPr>
        <w:t xml:space="preserve">    "command": "npm test",</w:t>
      </w:r>
      <w:r>
        <w:br/>
      </w:r>
      <w:r>
        <w:rPr>
          <w:rFonts w:ascii="Courier New" w:hAnsi="Courier New"/>
          <w:color w:val="1F4D78"/>
          <w:sz w:val="18"/>
        </w:rPr>
        <w:t xml:space="preserve">    "status": "succeeded",</w:t>
      </w:r>
      <w:r>
        <w:br/>
      </w:r>
      <w:r>
        <w:rPr>
          <w:rFonts w:ascii="Courier New" w:hAnsi="Courier New"/>
          <w:color w:val="1F4D78"/>
          <w:sz w:val="18"/>
        </w:rPr>
        <w:t xml:space="preserve">    "output": "$ npm test\nResult: 4/4 passed",</w:t>
      </w:r>
      <w:r>
        <w:br/>
      </w:r>
      <w:r>
        <w:rPr>
          <w:rFonts w:ascii="Courier New" w:hAnsi="Courier New"/>
          <w:color w:val="1F4D78"/>
          <w:sz w:val="18"/>
        </w:rPr>
        <w:t xml:space="preserve">    "outputChunks": [</w:t>
      </w:r>
      <w:r>
        <w:br/>
      </w:r>
      <w:r>
        <w:rPr>
          <w:rFonts w:ascii="Courier New" w:hAnsi="Courier New"/>
          <w:color w:val="1F4D78"/>
          <w:sz w:val="18"/>
        </w:rPr>
        <w:t xml:space="preserve">      {</w:t>
      </w:r>
      <w:r>
        <w:br/>
      </w:r>
      <w:r>
        <w:rPr>
          <w:rFonts w:ascii="Courier New" w:hAnsi="Courier New"/>
          <w:color w:val="1F4D78"/>
          <w:sz w:val="18"/>
        </w:rPr>
        <w:t xml:space="preserve">        "stream": "system",</w:t>
      </w:r>
      <w:r>
        <w:br/>
      </w:r>
      <w:r>
        <w:rPr>
          <w:rFonts w:ascii="Courier New" w:hAnsi="Courier New"/>
          <w:color w:val="1F4D78"/>
          <w:sz w:val="18"/>
        </w:rPr>
        <w:t xml:space="preserve">        "content": "$ npm test\nResult: 4/4 passed"</w:t>
      </w:r>
      <w:r>
        <w:br/>
      </w:r>
      <w:r>
        <w:rPr>
          <w:rFonts w:ascii="Courier New" w:hAnsi="Courier New"/>
          <w:color w:val="1F4D78"/>
          <w:sz w:val="18"/>
        </w:rPr>
        <w:t xml:space="preserve">      }</w:t>
      </w:r>
      <w:r>
        <w:br/>
      </w:r>
      <w:r>
        <w:rPr>
          <w:rFonts w:ascii="Courier New" w:hAnsi="Courier New"/>
          <w:color w:val="1F4D78"/>
          <w:sz w:val="18"/>
        </w:rPr>
        <w:t xml:space="preserve">    ],</w:t>
      </w:r>
      <w:r>
        <w:br/>
      </w:r>
      <w:r>
        <w:rPr>
          <w:rFonts w:ascii="Courier New" w:hAnsi="Courier New"/>
          <w:color w:val="1F4D78"/>
          <w:sz w:val="18"/>
        </w:rPr>
        <w:t xml:space="preserve">    "exitCode": 0,</w:t>
      </w:r>
      <w:r>
        <w:br/>
      </w:r>
      <w:r>
        <w:rPr>
          <w:rFonts w:ascii="Courier New" w:hAnsi="Courier New"/>
          <w:color w:val="1F4D78"/>
          <w:sz w:val="18"/>
        </w:rPr>
        <w:t xml:space="preserve">    "startedAt": "2026-05-18T00:00:00.000Z",</w:t>
      </w:r>
      <w:r>
        <w:br/>
      </w:r>
      <w:r>
        <w:rPr>
          <w:rFonts w:ascii="Courier New" w:hAnsi="Courier New"/>
          <w:color w:val="1F4D78"/>
          <w:sz w:val="18"/>
        </w:rPr>
        <w:t xml:space="preserve">    "finishedAt": "2026-05-18T00:00:01.000Z",</w:t>
      </w:r>
      <w:r>
        <w:br/>
      </w:r>
      <w:r>
        <w:rPr>
          <w:rFonts w:ascii="Courier New" w:hAnsi="Courier New"/>
          <w:color w:val="1F4D78"/>
          <w:sz w:val="18"/>
        </w:rPr>
        <w:t xml:space="preserve">    "sandbox": {</w:t>
      </w:r>
      <w:r>
        <w:br/>
      </w:r>
      <w:r>
        <w:rPr>
          <w:rFonts w:ascii="Courier New" w:hAnsi="Courier New"/>
          <w:color w:val="1F4D78"/>
          <w:sz w:val="18"/>
        </w:rPr>
        <w:t xml:space="preserve">      "providerId": "simulated",</w:t>
      </w:r>
      <w:r>
        <w:br/>
      </w:r>
      <w:r>
        <w:rPr>
          <w:rFonts w:ascii="Courier New" w:hAnsi="Courier New"/>
          <w:color w:val="1F4D78"/>
          <w:sz w:val="18"/>
        </w:rPr>
        <w:t xml:space="preserve">      "providerKind": "simulated",</w:t>
      </w:r>
      <w:r>
        <w:br/>
      </w:r>
      <w:r>
        <w:rPr>
          <w:rFonts w:ascii="Courier New" w:hAnsi="Courier New"/>
          <w:color w:val="1F4D78"/>
          <w:sz w:val="18"/>
        </w:rPr>
        <w:t xml:space="preserve">      "executionMode": "simulated",</w:t>
      </w:r>
      <w:r>
        <w:br/>
      </w:r>
      <w:r>
        <w:rPr>
          <w:rFonts w:ascii="Courier New" w:hAnsi="Courier New"/>
          <w:color w:val="1F4D78"/>
          <w:sz w:val="18"/>
        </w:rPr>
        <w:t xml:space="preserve">      "isolationLevel": "none",</w:t>
      </w:r>
      <w:r>
        <w:br/>
      </w:r>
      <w:r>
        <w:rPr>
          <w:rFonts w:ascii="Courier New" w:hAnsi="Courier New"/>
          <w:color w:val="1F4D78"/>
          <w:sz w:val="18"/>
        </w:rPr>
        <w:t xml:space="preserve">      "networkAccess": "none",</w:t>
      </w:r>
      <w:r>
        <w:br/>
      </w:r>
      <w:r>
        <w:rPr>
          <w:rFonts w:ascii="Courier New" w:hAnsi="Courier New"/>
          <w:color w:val="1F4D78"/>
          <w:sz w:val="18"/>
        </w:rPr>
        <w:t xml:space="preserve">      "networkPolicy": {</w:t>
      </w:r>
      <w:r>
        <w:br/>
      </w:r>
      <w:r>
        <w:rPr>
          <w:rFonts w:ascii="Courier New" w:hAnsi="Courier New"/>
          <w:color w:val="1F4D78"/>
          <w:sz w:val="18"/>
        </w:rPr>
        <w:t xml:space="preserve">        "mode": "none",</w:t>
      </w:r>
      <w:r>
        <w:br/>
      </w:r>
      <w:r>
        <w:rPr>
          <w:rFonts w:ascii="Courier New" w:hAnsi="Courier New"/>
          <w:color w:val="1F4D78"/>
          <w:sz w:val="18"/>
        </w:rPr>
        <w:t xml:space="preserve">        "outboundAccess": "none",</w:t>
      </w:r>
      <w:r>
        <w:br/>
      </w:r>
      <w:r>
        <w:rPr>
          <w:rFonts w:ascii="Courier New" w:hAnsi="Courier New"/>
          <w:color w:val="1F4D78"/>
          <w:sz w:val="18"/>
        </w:rPr>
        <w:t xml:space="preserve">        "allowedHosts": [],</w:t>
      </w:r>
      <w:r>
        <w:br/>
      </w:r>
      <w:r>
        <w:rPr>
          <w:rFonts w:ascii="Courier New" w:hAnsi="Courier New"/>
          <w:color w:val="1F4D78"/>
          <w:sz w:val="18"/>
        </w:rPr>
        <w:t xml:space="preserve">        "blockedByDefault": true</w:t>
      </w:r>
      <w:r>
        <w:br/>
      </w:r>
      <w:r>
        <w:rPr>
          <w:rFonts w:ascii="Courier New" w:hAnsi="Courier New"/>
          <w:color w:val="1F4D78"/>
          <w:sz w:val="18"/>
        </w:rPr>
        <w:t xml:space="preserve">      },</w:t>
      </w:r>
      <w:r>
        <w:br/>
      </w:r>
      <w:r>
        <w:rPr>
          <w:rFonts w:ascii="Courier New" w:hAnsi="Courier New"/>
          <w:color w:val="1F4D78"/>
          <w:sz w:val="18"/>
        </w:rPr>
        <w:t xml:space="preserve">      "capabilities": {</w:t>
      </w:r>
      <w:r>
        <w:br/>
      </w:r>
      <w:r>
        <w:rPr>
          <w:rFonts w:ascii="Courier New" w:hAnsi="Courier New"/>
          <w:color w:val="1F4D78"/>
          <w:sz w:val="18"/>
        </w:rPr>
        <w:t xml:space="preserve">        "readiness": "demo_only",</w:t>
      </w:r>
      <w:r>
        <w:br/>
      </w:r>
      <w:r>
        <w:rPr>
          <w:rFonts w:ascii="Courier New" w:hAnsi="Courier New"/>
          <w:color w:val="1F4D78"/>
          <w:sz w:val="18"/>
        </w:rPr>
        <w:t xml:space="preserve">        "realCodeExecution": "not_supported",</w:t>
      </w:r>
      <w:r>
        <w:br/>
      </w:r>
      <w:r>
        <w:rPr>
          <w:rFonts w:ascii="Courier New" w:hAnsi="Courier New"/>
          <w:color w:val="1F4D78"/>
          <w:sz w:val="18"/>
        </w:rPr>
        <w:t xml:space="preserve">        "productionIsolation": "not_supported",</w:t>
      </w:r>
      <w:r>
        <w:br/>
      </w:r>
      <w:r>
        <w:rPr>
          <w:rFonts w:ascii="Courier New" w:hAnsi="Courier New"/>
          <w:color w:val="1F4D78"/>
          <w:sz w:val="18"/>
        </w:rPr>
        <w:t xml:space="preserve">        "commandPolicy": "supported",</w:t>
      </w:r>
      <w:r>
        <w:br/>
      </w:r>
      <w:r>
        <w:rPr>
          <w:rFonts w:ascii="Courier New" w:hAnsi="Courier New"/>
          <w:color w:val="1F4D78"/>
          <w:sz w:val="18"/>
        </w:rPr>
        <w:t xml:space="preserve">        "networkPolicy": "supported",</w:t>
      </w:r>
      <w:r>
        <w:br/>
      </w:r>
      <w:r>
        <w:rPr>
          <w:rFonts w:ascii="Courier New" w:hAnsi="Courier New"/>
          <w:color w:val="1F4D78"/>
          <w:sz w:val="18"/>
        </w:rPr>
        <w:t xml:space="preserve">        "environmentPolicy": "supported",</w:t>
      </w:r>
      <w:r>
        <w:br/>
      </w:r>
      <w:r>
        <w:rPr>
          <w:rFonts w:ascii="Courier New" w:hAnsi="Courier New"/>
          <w:color w:val="1F4D78"/>
          <w:sz w:val="18"/>
        </w:rPr>
        <w:t xml:space="preserve">        "resourceLimits": "supported",</w:t>
      </w:r>
      <w:r>
        <w:br/>
      </w:r>
      <w:r>
        <w:rPr>
          <w:rFonts w:ascii="Courier New" w:hAnsi="Courier New"/>
          <w:color w:val="1F4D78"/>
          <w:sz w:val="18"/>
        </w:rPr>
        <w:t xml:space="preserve">        "workspaceSnapshots": "supported",</w:t>
      </w:r>
      <w:r>
        <w:br/>
      </w:r>
      <w:r>
        <w:rPr>
          <w:rFonts w:ascii="Courier New" w:hAnsi="Courier New"/>
          <w:color w:val="1F4D78"/>
          <w:sz w:val="18"/>
        </w:rPr>
        <w:t xml:space="preserve">        "cleanupEvidence": "not_applicable"</w:t>
      </w:r>
      <w:r>
        <w:br/>
      </w:r>
      <w:r>
        <w:rPr>
          <w:rFonts w:ascii="Courier New" w:hAnsi="Courier New"/>
          <w:color w:val="1F4D78"/>
          <w:sz w:val="18"/>
        </w:rPr>
        <w:t xml:space="preserve">      },</w:t>
      </w:r>
      <w:r>
        <w:br/>
      </w:r>
      <w:r>
        <w:rPr>
          <w:rFonts w:ascii="Courier New" w:hAnsi="Courier New"/>
          <w:color w:val="1F4D78"/>
          <w:sz w:val="18"/>
        </w:rPr>
        <w:t xml:space="preserve">      "filesystemPersistence": "virtual",</w:t>
      </w:r>
      <w:r>
        <w:br/>
      </w:r>
      <w:r>
        <w:rPr>
          <w:rFonts w:ascii="Courier New" w:hAnsi="Courier New"/>
          <w:color w:val="1F4D78"/>
          <w:sz w:val="18"/>
        </w:rPr>
        <w:t xml:space="preserve">      "cleanupPolicy": "not_applicable",</w:t>
      </w:r>
      <w:r>
        <w:br/>
      </w:r>
      <w:r>
        <w:rPr>
          <w:rFonts w:ascii="Courier New" w:hAnsi="Courier New"/>
          <w:color w:val="1F4D78"/>
          <w:sz w:val="18"/>
        </w:rPr>
        <w:t xml:space="preserve">      "commandPolicy": {</w:t>
      </w:r>
      <w:r>
        <w:br/>
      </w:r>
      <w:r>
        <w:rPr>
          <w:rFonts w:ascii="Courier New" w:hAnsi="Courier New"/>
          <w:color w:val="1F4D78"/>
          <w:sz w:val="18"/>
        </w:rPr>
        <w:t xml:space="preserve">        "mode": "simulated_allowlist",</w:t>
      </w:r>
      <w:r>
        <w:br/>
      </w:r>
      <w:r>
        <w:rPr>
          <w:rFonts w:ascii="Courier New" w:hAnsi="Courier New"/>
          <w:color w:val="1F4D78"/>
          <w:sz w:val="18"/>
        </w:rPr>
        <w:t xml:space="preserve">        "allowedCommands": ["npm test", "ls", "ls src", "pwd"],</w:t>
      </w:r>
      <w:r>
        <w:br/>
      </w:r>
      <w:r>
        <w:rPr>
          <w:rFonts w:ascii="Courier New" w:hAnsi="Courier New"/>
          <w:color w:val="1F4D78"/>
          <w:sz w:val="18"/>
        </w:rPr>
        <w:t xml:space="preserve">        "blockedByDefault": true</w:t>
      </w:r>
      <w:r>
        <w:br/>
      </w:r>
      <w:r>
        <w:rPr>
          <w:rFonts w:ascii="Courier New" w:hAnsi="Courier New"/>
          <w:color w:val="1F4D78"/>
          <w:sz w:val="18"/>
        </w:rPr>
        <w:t xml:space="preserve">      },</w:t>
      </w:r>
      <w:r>
        <w:br/>
      </w:r>
      <w:r>
        <w:rPr>
          <w:rFonts w:ascii="Courier New" w:hAnsi="Courier New"/>
          <w:color w:val="1F4D78"/>
          <w:sz w:val="18"/>
        </w:rPr>
        <w:t xml:space="preserve">      "snapshotCount": 0,</w:t>
      </w:r>
      <w:r>
        <w:br/>
      </w:r>
      <w:r>
        <w:rPr>
          <w:rFonts w:ascii="Courier New" w:hAnsi="Courier New"/>
          <w:color w:val="1F4D78"/>
          <w:sz w:val="18"/>
        </w:rPr>
        <w:t xml:space="preserve">      "persistedSnapshotCount": 0,</w:t>
      </w:r>
      <w:r>
        <w:br/>
      </w:r>
      <w:r>
        <w:rPr>
          <w:rFonts w:ascii="Courier New" w:hAnsi="Courier New"/>
          <w:color w:val="1F4D78"/>
          <w:sz w:val="18"/>
        </w:rPr>
        <w:t xml:space="preserve">      "execution": {</w:t>
      </w:r>
      <w:r>
        <w:br/>
      </w:r>
      <w:r>
        <w:rPr>
          <w:rFonts w:ascii="Courier New" w:hAnsi="Courier New"/>
          <w:color w:val="1F4D78"/>
          <w:sz w:val="18"/>
        </w:rPr>
        <w:t xml:space="preserve">        "sandboxRunId": "simulated:run_id",</w:t>
      </w:r>
      <w:r>
        <w:br/>
      </w:r>
      <w:r>
        <w:rPr>
          <w:rFonts w:ascii="Courier New" w:hAnsi="Courier New"/>
          <w:color w:val="1F4D78"/>
          <w:sz w:val="18"/>
        </w:rPr>
        <w:t xml:space="preserve">        "durationMs": 42,</w:t>
      </w:r>
      <w:r>
        <w:br/>
      </w:r>
      <w:r>
        <w:rPr>
          <w:rFonts w:ascii="Courier New" w:hAnsi="Courier New"/>
          <w:color w:val="1F4D78"/>
          <w:sz w:val="18"/>
        </w:rPr>
        <w:t xml:space="preserve">        "timedOut": false,</w:t>
      </w:r>
      <w:r>
        <w:br/>
      </w:r>
      <w:r>
        <w:rPr>
          <w:rFonts w:ascii="Courier New" w:hAnsi="Courier New"/>
          <w:color w:val="1F4D78"/>
          <w:sz w:val="18"/>
        </w:rPr>
        <w:t xml:space="preserve">        "cleanupStatus": "not_applicable",</w:t>
      </w:r>
      <w:r>
        <w:br/>
      </w:r>
      <w:r>
        <w:rPr>
          <w:rFonts w:ascii="Courier New" w:hAnsi="Courier New"/>
          <w:color w:val="1F4D78"/>
          <w:sz w:val="18"/>
        </w:rPr>
        <w:t xml:space="preserve">        "outputChars": 32,</w:t>
      </w:r>
      <w:r>
        <w:br/>
      </w:r>
      <w:r>
        <w:rPr>
          <w:rFonts w:ascii="Courier New" w:hAnsi="Courier New"/>
          <w:color w:val="1F4D78"/>
          <w:sz w:val="18"/>
        </w:rPr>
        <w:t xml:space="preserve">        "outputLimitChars": 20000,</w:t>
      </w:r>
      <w:r>
        <w:br/>
      </w:r>
      <w:r>
        <w:rPr>
          <w:rFonts w:ascii="Courier New" w:hAnsi="Courier New"/>
          <w:color w:val="1F4D78"/>
          <w:sz w:val="18"/>
        </w:rPr>
        <w:t xml:space="preserve">        "outputTruncated": false</w:t>
      </w:r>
      <w:r>
        <w:br/>
      </w:r>
      <w:r>
        <w:rPr>
          <w:rFonts w:ascii="Courier New" w:hAnsi="Courier New"/>
          <w:color w:val="1F4D78"/>
          <w:sz w:val="18"/>
        </w:rPr>
        <w:t xml:space="preserve">      }</w:t>
      </w:r>
      <w:r>
        <w:br/>
      </w:r>
      <w:r>
        <w:rPr>
          <w:rFonts w:ascii="Courier New" w:hAnsi="Courier New"/>
          <w:color w:val="1F4D78"/>
          <w:sz w:val="18"/>
        </w:rPr>
        <w:t xml:space="preserve">    },</w:t>
      </w:r>
      <w:r>
        <w:br/>
      </w:r>
      <w:r>
        <w:rPr>
          <w:rFonts w:ascii="Courier New" w:hAnsi="Courier New"/>
          <w:color w:val="1F4D78"/>
          <w:sz w:val="18"/>
        </w:rPr>
        <w:t xml:space="preserve">    "testResults": [</w:t>
      </w:r>
      <w:r>
        <w:br/>
      </w:r>
      <w:r>
        <w:rPr>
          <w:rFonts w:ascii="Courier New" w:hAnsi="Courier New"/>
          <w:color w:val="1F4D78"/>
          <w:sz w:val="18"/>
        </w:rPr>
        <w:t xml:space="preserve">      {</w:t>
      </w:r>
      <w:r>
        <w:br/>
      </w:r>
      <w:r>
        <w:rPr>
          <w:rFonts w:ascii="Courier New" w:hAnsi="Courier New"/>
          <w:color w:val="1F4D78"/>
          <w:sz w:val="18"/>
        </w:rPr>
        <w:t xml:space="preserve">        "name": "rejects missing quantities",</w:t>
      </w:r>
      <w:r>
        <w:br/>
      </w:r>
      <w:r>
        <w:rPr>
          <w:rFonts w:ascii="Courier New" w:hAnsi="Courier New"/>
          <w:color w:val="1F4D78"/>
          <w:sz w:val="18"/>
        </w:rPr>
        <w:t xml:space="preserve">        "status": "passed",</w:t>
      </w:r>
      <w:r>
        <w:br/>
      </w:r>
      <w:r>
        <w:rPr>
          <w:rFonts w:ascii="Courier New" w:hAnsi="Courier New"/>
          <w:color w:val="1F4D78"/>
          <w:sz w:val="18"/>
        </w:rPr>
        <w:t xml:space="preserve">        "message": "Missing quantity is rejected"</w:t>
      </w:r>
      <w:r>
        <w:br/>
      </w:r>
      <w:r>
        <w:rPr>
          <w:rFonts w:ascii="Courier New" w:hAnsi="Courier New"/>
          <w:color w:val="1F4D78"/>
          <w:sz w:val="18"/>
        </w:rPr>
        <w:t xml:space="preserve">      }</w:t>
      </w:r>
      <w:r>
        <w:br/>
      </w:r>
      <w:r>
        <w:rPr>
          <w:rFonts w:ascii="Courier New" w:hAnsi="Courier New"/>
          <w:color w:val="1F4D78"/>
          <w:sz w:val="18"/>
        </w:rPr>
        <w:t xml:space="preserve">    ]</w:t>
      </w:r>
      <w:r>
        <w:br/>
      </w:r>
      <w:r>
        <w:rPr>
          <w:rFonts w:ascii="Courier New" w:hAnsi="Courier New"/>
          <w:color w:val="1F4D78"/>
          <w:sz w:val="18"/>
        </w:rPr>
        <w:t xml:space="preserve">  }</w:t>
      </w:r>
      <w:r>
        <w:br/>
      </w:r>
      <w:r>
        <w:rPr>
          <w:rFonts w:ascii="Courier New" w:hAnsi="Courier New"/>
          <w:color w:val="1F4D78"/>
          <w:sz w:val="18"/>
        </w:rPr>
        <w:t>}</w:t>
      </w:r>
    </w:p>
    <w:p>
      <w:r>
        <w:rPr>
          <w:rFonts w:ascii="Calibri" w:hAnsi="Calibri"/>
          <w:b w:val="0"/>
        </w:rPr>
        <w:t>Telemetry side effects:</w:t>
      </w:r>
    </w:p>
    <w:p>
      <w:pPr>
        <w:pStyle w:val="ListBullet"/>
      </w:pPr>
      <w:r>
        <w:rPr>
          <w:rFonts w:ascii="Calibri" w:hAnsi="Calibri"/>
          <w:b w:val="0"/>
        </w:rPr>
        <w:t xml:space="preserve">Creates a </w:t>
      </w:r>
      <w:r>
        <w:rPr>
          <w:rFonts w:ascii="Courier New" w:hAnsi="Courier New"/>
          <w:b w:val="0"/>
          <w:color w:val="1F4D78"/>
          <w:sz w:val="20"/>
        </w:rPr>
        <w:t>CommandRun</w:t>
      </w:r>
      <w:r>
        <w:rPr>
          <w:rFonts w:ascii="Calibri" w:hAnsi="Calibri"/>
          <w:b w:val="0"/>
        </w:rPr>
        <w:t xml:space="preserve"> row.</w:t>
      </w:r>
    </w:p>
    <w:p>
      <w:pPr>
        <w:pStyle w:val="ListBullet"/>
      </w:pPr>
      <w:r>
        <w:rPr>
          <w:rFonts w:ascii="Calibri" w:hAnsi="Calibri"/>
          <w:b w:val="0"/>
        </w:rPr>
        <w:t xml:space="preserve">Creates </w:t>
      </w:r>
      <w:r>
        <w:rPr>
          <w:rFonts w:ascii="Courier New" w:hAnsi="Courier New"/>
          <w:b w:val="0"/>
          <w:color w:val="1F4D78"/>
          <w:sz w:val="20"/>
        </w:rPr>
        <w:t>TestResult</w:t>
      </w:r>
      <w:r>
        <w:rPr>
          <w:rFonts w:ascii="Calibri" w:hAnsi="Calibri"/>
          <w:b w:val="0"/>
        </w:rPr>
        <w:t xml:space="preserve"> rows when provider output includes tests.</w:t>
      </w:r>
    </w:p>
    <w:p>
      <w:pPr>
        <w:pStyle w:val="ListBullet"/>
      </w:pPr>
      <w:r>
        <w:rPr>
          <w:rFonts w:ascii="Calibri" w:hAnsi="Calibri"/>
          <w:b w:val="0"/>
        </w:rPr>
        <w:t xml:space="preserve">Logs </w:t>
      </w:r>
      <w:r>
        <w:rPr>
          <w:rFonts w:ascii="Courier New" w:hAnsi="Courier New"/>
          <w:b w:val="0"/>
          <w:color w:val="1F4D78"/>
          <w:sz w:val="20"/>
        </w:rPr>
        <w:t>command_started</w:t>
      </w:r>
      <w:r>
        <w:rPr>
          <w:rFonts w:ascii="Calibri" w:hAnsi="Calibri"/>
          <w:b w:val="0"/>
        </w:rPr>
        <w:t xml:space="preserve"> or </w:t>
      </w:r>
      <w:r>
        <w:rPr>
          <w:rFonts w:ascii="Courier New" w:hAnsi="Courier New"/>
          <w:b w:val="0"/>
          <w:color w:val="1F4D78"/>
          <w:sz w:val="20"/>
        </w:rPr>
        <w:t>test_run_started</w:t>
      </w:r>
      <w:r>
        <w:rPr>
          <w:rFonts w:ascii="Calibri" w:hAnsi="Calibri"/>
          <w:b w:val="0"/>
        </w:rPr>
        <w:t>.</w:t>
      </w:r>
    </w:p>
    <w:p>
      <w:pPr>
        <w:pStyle w:val="ListBullet"/>
      </w:pPr>
      <w:r>
        <w:rPr>
          <w:rFonts w:ascii="Calibri" w:hAnsi="Calibri"/>
          <w:b w:val="0"/>
        </w:rPr>
        <w:t xml:space="preserve">Logs </w:t>
      </w:r>
      <w:r>
        <w:rPr>
          <w:rFonts w:ascii="Courier New" w:hAnsi="Courier New"/>
          <w:b w:val="0"/>
          <w:color w:val="1F4D78"/>
          <w:sz w:val="20"/>
        </w:rPr>
        <w:t>command_output</w:t>
      </w:r>
      <w:r>
        <w:rPr>
          <w:rFonts w:ascii="Calibri" w:hAnsi="Calibri"/>
          <w:b w:val="0"/>
        </w:rPr>
        <w:t>.</w:t>
      </w:r>
    </w:p>
    <w:p>
      <w:pPr>
        <w:pStyle w:val="ListBullet"/>
      </w:pPr>
      <w:r>
        <w:rPr>
          <w:rFonts w:ascii="Calibri" w:hAnsi="Calibri"/>
          <w:b w:val="0"/>
        </w:rPr>
        <w:t xml:space="preserve">Logs </w:t>
      </w:r>
      <w:r>
        <w:rPr>
          <w:rFonts w:ascii="Courier New" w:hAnsi="Courier New"/>
          <w:b w:val="0"/>
          <w:color w:val="1F4D78"/>
          <w:sz w:val="20"/>
        </w:rPr>
        <w:t>command_finished</w:t>
      </w:r>
      <w:r>
        <w:rPr>
          <w:rFonts w:ascii="Calibri" w:hAnsi="Calibri"/>
          <w:b w:val="0"/>
        </w:rPr>
        <w:t xml:space="preserve"> or </w:t>
      </w:r>
      <w:r>
        <w:rPr>
          <w:rFonts w:ascii="Courier New" w:hAnsi="Courier New"/>
          <w:b w:val="0"/>
          <w:color w:val="1F4D78"/>
          <w:sz w:val="20"/>
        </w:rPr>
        <w:t>test_run_finished</w:t>
      </w:r>
      <w:r>
        <w:rPr>
          <w:rFonts w:ascii="Calibri" w:hAnsi="Calibri"/>
          <w:b w:val="0"/>
        </w:rPr>
        <w:t>.</w:t>
      </w:r>
    </w:p>
    <w:p>
      <w:pPr>
        <w:pStyle w:val="ListBullet"/>
      </w:pPr>
      <w:r>
        <w:rPr>
          <w:rFonts w:ascii="Calibri" w:hAnsi="Calibri"/>
          <w:b w:val="0"/>
        </w:rPr>
        <w:t>Includes provider run ID, readiness status, capability statuses/gaps, command policy, environment policy, network policy, resource limits, mounted workspace manifest/digest, cleanup status, output stream labels, output truncation, skipped reason, and snapshot persistence metadata.</w:t>
      </w:r>
    </w:p>
    <w:p>
      <w:r>
        <w:rPr>
          <w:rFonts w:ascii="Calibri" w:hAnsi="Calibri"/>
          <w:b w:val="0"/>
        </w:rPr>
        <w:t>Important skipped reasons: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2936"/>
            <w:vAlign w:val="center"/>
            <w:shd w:fill="F2F4F7"/>
          </w:tcPr>
          <w:p>
            <w:pPr>
              <w:spacing w:after="0"/>
            </w:pPr>
            <w:r>
              <w:rPr>
                <w:rFonts w:ascii="Calibri" w:hAnsi="Calibri"/>
                <w:b/>
              </w:rPr>
              <w:t>Reason</w:t>
            </w:r>
          </w:p>
        </w:tc>
        <w:tc>
          <w:tcPr>
            <w:tcW w:type="dxa" w:w="6424"/>
            <w:vAlign w:val="center"/>
            <w:shd w:fill="F2F4F7"/>
          </w:tcPr>
          <w:p>
            <w:pPr>
              <w:spacing w:after="0"/>
            </w:pPr>
            <w:r>
              <w:rPr>
                <w:rFonts w:ascii="Calibri" w:hAnsi="Calibri"/>
                <w:b/>
              </w:rPr>
              <w:t>Meaning</w:t>
            </w:r>
          </w:p>
        </w:tc>
      </w:tr>
      <w:tr>
        <w:tc>
          <w:tcPr>
            <w:tcW w:type="dxa" w:w="2936"/>
            <w:vAlign w:val="center"/>
          </w:tcPr>
          <w:p>
            <w:pPr>
              <w:spacing w:after="0"/>
            </w:pPr>
            <w:r>
              <w:rPr>
                <w:rFonts w:ascii="Courier New" w:hAnsi="Courier New"/>
                <w:b w:val="0"/>
                <w:color w:val="1F4D78"/>
                <w:sz w:val="20"/>
              </w:rPr>
              <w:t>command_not_allowed</w:t>
            </w:r>
          </w:p>
        </w:tc>
        <w:tc>
          <w:tcPr>
            <w:tcW w:type="dxa" w:w="6424"/>
            <w:vAlign w:val="center"/>
          </w:tcPr>
          <w:p>
            <w:pPr>
              <w:spacing w:after="0"/>
            </w:pPr>
            <w:r>
              <w:rPr>
                <w:rFonts w:ascii="Calibri" w:hAnsi="Calibri"/>
                <w:b w:val="0"/>
              </w:rPr>
              <w:t>Provider policy rejected the command.</w:t>
            </w:r>
          </w:p>
        </w:tc>
      </w:tr>
      <w:tr>
        <w:tc>
          <w:tcPr>
            <w:tcW w:type="dxa" w:w="2936"/>
            <w:vAlign w:val="center"/>
          </w:tcPr>
          <w:p>
            <w:pPr>
              <w:spacing w:after="0"/>
            </w:pPr>
            <w:r>
              <w:rPr>
                <w:rFonts w:ascii="Courier New" w:hAnsi="Courier New"/>
                <w:b w:val="0"/>
                <w:color w:val="1F4D78"/>
                <w:sz w:val="20"/>
              </w:rPr>
              <w:t>invalid_workspace_file_path</w:t>
            </w:r>
          </w:p>
        </w:tc>
        <w:tc>
          <w:tcPr>
            <w:tcW w:type="dxa" w:w="6424"/>
            <w:vAlign w:val="center"/>
          </w:tcPr>
          <w:p>
            <w:pPr>
              <w:spacing w:after="0"/>
            </w:pPr>
            <w:r>
              <w:rPr>
                <w:rFonts w:ascii="Calibri" w:hAnsi="Calibri"/>
                <w:b w:val="0"/>
              </w:rPr>
              <w:t>Historical file snapshots failed workspace path validation before provider execution.</w:t>
            </w:r>
          </w:p>
        </w:tc>
      </w:tr>
      <w:tr>
        <w:tc>
          <w:tcPr>
            <w:tcW w:type="dxa" w:w="2936"/>
            <w:vAlign w:val="center"/>
          </w:tcPr>
          <w:p>
            <w:pPr>
              <w:spacing w:after="0"/>
            </w:pPr>
            <w:r>
              <w:rPr>
                <w:rFonts w:ascii="Courier New" w:hAnsi="Courier New"/>
                <w:b w:val="0"/>
                <w:color w:val="1F4D78"/>
                <w:sz w:val="20"/>
              </w:rPr>
              <w:t>workspace_manifest_mismatch</w:t>
            </w:r>
          </w:p>
        </w:tc>
        <w:tc>
          <w:tcPr>
            <w:tcW w:type="dxa" w:w="6424"/>
            <w:vAlign w:val="center"/>
          </w:tcPr>
          <w:p>
            <w:pPr>
              <w:spacing w:after="0"/>
            </w:pPr>
            <w:r>
              <w:rPr>
                <w:rFonts w:ascii="Calibri" w:hAnsi="Calibri"/>
                <w:b w:val="0"/>
              </w:rPr>
              <w:t>Provider received files that did not match the required manifest digest.</w:t>
            </w:r>
          </w:p>
        </w:tc>
      </w:tr>
      <w:tr>
        <w:tc>
          <w:tcPr>
            <w:tcW w:type="dxa" w:w="2936"/>
            <w:vAlign w:val="center"/>
          </w:tcPr>
          <w:p>
            <w:pPr>
              <w:spacing w:after="0"/>
            </w:pPr>
            <w:r>
              <w:rPr>
                <w:rFonts w:ascii="Courier New" w:hAnsi="Courier New"/>
                <w:b w:val="0"/>
                <w:color w:val="1F4D78"/>
                <w:sz w:val="20"/>
              </w:rPr>
              <w:t>local_dev_production_blocked</w:t>
            </w:r>
          </w:p>
        </w:tc>
        <w:tc>
          <w:tcPr>
            <w:tcW w:type="dxa" w:w="6424"/>
            <w:vAlign w:val="center"/>
          </w:tcPr>
          <w:p>
            <w:pPr>
              <w:spacing w:after="0"/>
            </w:pPr>
            <w:r>
              <w:rPr>
                <w:rFonts w:ascii="Calibri" w:hAnsi="Calibri"/>
                <w:b w:val="0"/>
              </w:rPr>
              <w:t>The local-dev provider was selected in production and refused to run host commands.</w:t>
            </w:r>
          </w:p>
        </w:tc>
      </w:tr>
      <w:tr>
        <w:tc>
          <w:tcPr>
            <w:tcW w:type="dxa" w:w="2936"/>
            <w:vAlign w:val="center"/>
          </w:tcPr>
          <w:p>
            <w:pPr>
              <w:spacing w:after="0"/>
            </w:pPr>
            <w:r>
              <w:rPr>
                <w:rFonts w:ascii="Courier New" w:hAnsi="Courier New"/>
                <w:b w:val="0"/>
                <w:color w:val="1F4D78"/>
                <w:sz w:val="20"/>
              </w:rPr>
              <w:t>external_provider_unconfigured</w:t>
            </w:r>
          </w:p>
        </w:tc>
        <w:tc>
          <w:tcPr>
            <w:tcW w:type="dxa" w:w="6424"/>
            <w:vAlign w:val="center"/>
          </w:tcPr>
          <w:p>
            <w:pPr>
              <w:spacing w:after="0"/>
            </w:pPr>
            <w:r>
              <w:rPr>
                <w:rFonts w:ascii="Calibri" w:hAnsi="Calibri"/>
                <w:b w:val="0"/>
              </w:rPr>
              <w:t>External provider path is selected but no real adapter exists yet.</w:t>
            </w:r>
          </w:p>
        </w:tc>
      </w:tr>
      <w:tr>
        <w:tc>
          <w:tcPr>
            <w:tcW w:type="dxa" w:w="2936"/>
            <w:vAlign w:val="center"/>
          </w:tcPr>
          <w:p>
            <w:pPr>
              <w:spacing w:after="0"/>
            </w:pPr>
            <w:r>
              <w:rPr>
                <w:rFonts w:ascii="Courier New" w:hAnsi="Courier New"/>
                <w:b w:val="0"/>
                <w:color w:val="1F4D78"/>
                <w:sz w:val="20"/>
              </w:rPr>
              <w:t>provider_error</w:t>
            </w:r>
          </w:p>
        </w:tc>
        <w:tc>
          <w:tcPr>
            <w:tcW w:type="dxa" w:w="6424"/>
            <w:vAlign w:val="center"/>
          </w:tcPr>
          <w:p>
            <w:pPr>
              <w:spacing w:after="0"/>
            </w:pPr>
            <w:r>
              <w:rPr>
                <w:rFonts w:ascii="Calibri" w:hAnsi="Calibri"/>
                <w:b w:val="0"/>
              </w:rPr>
              <w:t>Provider setup or execution failed before normal completion.</w:t>
            </w:r>
          </w:p>
        </w:tc>
      </w:tr>
    </w:tbl>
    <w:p>
      <w:pPr>
        <w:spacing w:after="40"/>
      </w:pPr>
    </w:p>
    <w:p>
      <w:pPr>
        <w:pStyle w:val="Heading3"/>
        <w:keepNext/>
      </w:pPr>
      <w:r>
        <w:t>`POST /api/session/[sessionToken]/ai`</w:t>
      </w:r>
    </w:p>
    <w:p>
      <w:r>
        <w:rPr>
          <w:rFonts w:ascii="Calibri" w:hAnsi="Calibri"/>
          <w:b w:val="0"/>
        </w:rPr>
        <w:t>Stores the candidate prompt, applies local guardrails, calls the configured AI provider when allowed, stores the assistant response, and logs AI telemetry.</w:t>
      </w:r>
    </w:p>
    <w:p>
      <w:r>
        <w:rPr>
          <w:rFonts w:ascii="Calibri" w:hAnsi="Calibri"/>
          <w:b w:val="0"/>
        </w:rPr>
        <w:t>Request body:</w:t>
      </w:r>
    </w:p>
    <w:p>
      <w:pPr>
        <w:spacing w:before="40" w:after="160"/>
      </w:pPr>
      <w:r>
        <w:rPr>
          <w:rFonts w:ascii="Courier New" w:hAnsi="Courier New"/>
          <w:color w:val="1F4D78"/>
          <w:sz w:val="18"/>
        </w:rPr>
        <w:t>{</w:t>
      </w:r>
      <w:r>
        <w:br/>
      </w:r>
      <w:r>
        <w:rPr>
          <w:rFonts w:ascii="Courier New" w:hAnsi="Courier New"/>
          <w:color w:val="1F4D78"/>
          <w:sz w:val="18"/>
        </w:rPr>
        <w:t xml:space="preserve">  "message": "How should I approach the failing checkout tests?"</w:t>
      </w:r>
      <w:r>
        <w:br/>
      </w:r>
      <w:r>
        <w:rPr>
          <w:rFonts w:ascii="Courier New" w:hAnsi="Courier New"/>
          <w:color w:val="1F4D78"/>
          <w:sz w:val="18"/>
        </w:rPr>
        <w:t>}</w:t>
      </w:r>
    </w:p>
    <w:p>
      <w:r>
        <w:rPr>
          <w:rFonts w:ascii="Calibri" w:hAnsi="Calibri"/>
          <w:b w:val="0"/>
        </w:rPr>
        <w:t>Provider behavior:</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4680"/>
        <w:gridCol w:w="4680"/>
      </w:tblGrid>
      <w:tr>
        <w:tc>
          <w:tcPr>
            <w:tcW w:type="dxa" w:w="3178"/>
            <w:vAlign w:val="center"/>
            <w:shd w:fill="F2F4F7"/>
          </w:tcPr>
          <w:p>
            <w:pPr>
              <w:spacing w:after="0"/>
            </w:pPr>
            <w:r>
              <w:rPr>
                <w:rFonts w:ascii="Calibri" w:hAnsi="Calibri"/>
                <w:b/>
              </w:rPr>
              <w:t>Environment</w:t>
            </w:r>
          </w:p>
        </w:tc>
        <w:tc>
          <w:tcPr>
            <w:tcW w:type="dxa" w:w="6182"/>
            <w:vAlign w:val="center"/>
            <w:shd w:fill="F2F4F7"/>
          </w:tcPr>
          <w:p>
            <w:pPr>
              <w:spacing w:after="0"/>
            </w:pPr>
            <w:r>
              <w:rPr>
                <w:rFonts w:ascii="Calibri" w:hAnsi="Calibri"/>
                <w:b/>
              </w:rPr>
              <w:t>Behavior</w:t>
            </w:r>
          </w:p>
        </w:tc>
      </w:tr>
      <w:tr>
        <w:tc>
          <w:tcPr>
            <w:tcW w:type="dxa" w:w="3178"/>
            <w:vAlign w:val="center"/>
          </w:tcPr>
          <w:p>
            <w:pPr>
              <w:spacing w:after="0"/>
            </w:pPr>
            <w:r>
              <w:rPr>
                <w:rFonts w:ascii="Courier New" w:hAnsi="Courier New"/>
                <w:b w:val="0"/>
                <w:color w:val="1F4D78"/>
                <w:sz w:val="20"/>
              </w:rPr>
              <w:t>AI_PROVIDER=deterministic</w:t>
            </w:r>
            <w:r>
              <w:rPr>
                <w:rFonts w:ascii="Calibri" w:hAnsi="Calibri"/>
                <w:b w:val="0"/>
              </w:rPr>
              <w:t xml:space="preserve"> or unset</w:t>
            </w:r>
          </w:p>
        </w:tc>
        <w:tc>
          <w:tcPr>
            <w:tcW w:type="dxa" w:w="6182"/>
            <w:vAlign w:val="center"/>
          </w:tcPr>
          <w:p>
            <w:pPr>
              <w:spacing w:after="0"/>
            </w:pPr>
            <w:r>
              <w:rPr>
                <w:rFonts w:ascii="Calibri" w:hAnsi="Calibri"/>
                <w:b w:val="0"/>
              </w:rPr>
              <w:t>Stable deterministic assistant for tests and demos.</w:t>
            </w:r>
          </w:p>
        </w:tc>
      </w:tr>
      <w:tr>
        <w:tc>
          <w:tcPr>
            <w:tcW w:type="dxa" w:w="3178"/>
            <w:vAlign w:val="center"/>
          </w:tcPr>
          <w:p>
            <w:pPr>
              <w:spacing w:after="0"/>
            </w:pPr>
            <w:r>
              <w:rPr>
                <w:rFonts w:ascii="Courier New" w:hAnsi="Courier New"/>
                <w:b w:val="0"/>
                <w:color w:val="1F4D78"/>
                <w:sz w:val="20"/>
              </w:rPr>
              <w:t>AI_PROVIDER=ollama</w:t>
            </w:r>
          </w:p>
        </w:tc>
        <w:tc>
          <w:tcPr>
            <w:tcW w:type="dxa" w:w="6182"/>
            <w:vAlign w:val="center"/>
          </w:tcPr>
          <w:p>
            <w:pPr>
              <w:spacing w:after="0"/>
            </w:pPr>
            <w:r>
              <w:rPr>
                <w:rFonts w:ascii="Calibri" w:hAnsi="Calibri"/>
                <w:b w:val="0"/>
              </w:rPr>
              <w:t xml:space="preserve">Calls </w:t>
            </w:r>
            <w:r>
              <w:rPr>
                <w:rFonts w:ascii="Courier New" w:hAnsi="Courier New"/>
                <w:b w:val="0"/>
                <w:color w:val="1F4D78"/>
                <w:sz w:val="20"/>
              </w:rPr>
              <w:t>{OLLAMA_BASE_URL}/api/generate</w:t>
            </w:r>
            <w:r>
              <w:rPr>
                <w:rFonts w:ascii="Calibri" w:hAnsi="Calibri"/>
                <w:b w:val="0"/>
              </w:rPr>
              <w:t xml:space="preserve"> with </w:t>
            </w:r>
            <w:r>
              <w:rPr>
                <w:rFonts w:ascii="Courier New" w:hAnsi="Courier New"/>
                <w:b w:val="0"/>
                <w:color w:val="1F4D78"/>
                <w:sz w:val="20"/>
              </w:rPr>
              <w:t>{ model, system, prompt, stream: false }</w:t>
            </w:r>
            <w:r>
              <w:rPr>
                <w:rFonts w:ascii="Calibri" w:hAnsi="Calibri"/>
                <w:b w:val="0"/>
              </w:rPr>
              <w:t>.</w:t>
            </w:r>
          </w:p>
        </w:tc>
      </w:tr>
    </w:tbl>
    <w:p>
      <w:pPr>
        <w:spacing w:after="40"/>
      </w:pPr>
    </w:p>
    <w:p>
      <w:r>
        <w:rPr>
          <w:rFonts w:ascii="Calibri" w:hAnsi="Calibri"/>
          <w:b w:val="0"/>
        </w:rPr>
        <w:t>Guardrail behavior:</w:t>
      </w:r>
    </w:p>
    <w:p>
      <w:pPr>
        <w:pStyle w:val="ListBullet"/>
      </w:pPr>
      <w:r>
        <w:rPr>
          <w:rFonts w:ascii="Calibri" w:hAnsi="Calibri"/>
          <w:b w:val="0"/>
        </w:rPr>
        <w:t>Low-signal prompts return an input-clarifier response without a provider call.</w:t>
      </w:r>
    </w:p>
    <w:p>
      <w:pPr>
        <w:pStyle w:val="ListBullet"/>
      </w:pPr>
      <w:r>
        <w:rPr>
          <w:rFonts w:ascii="Calibri" w:hAnsi="Calibri"/>
          <w:b w:val="0"/>
        </w:rPr>
        <w:t>Requests asking the assistant to run commands or directly complete the assignment return a capability-boundary response.</w:t>
      </w:r>
    </w:p>
    <w:p>
      <w:pPr>
        <w:pStyle w:val="ListBullet"/>
      </w:pPr>
      <w:r>
        <w:rPr>
          <w:rFonts w:ascii="Calibri" w:hAnsi="Calibri"/>
          <w:b w:val="0"/>
        </w:rPr>
        <w:t>Provider failures are logged and return a fallback assistant response so the session can continue.</w:t>
      </w:r>
    </w:p>
    <w:p>
      <w:pPr>
        <w:pStyle w:val="ListBullet"/>
      </w:pPr>
      <w:r>
        <w:rPr>
          <w:rFonts w:ascii="Calibri" w:hAnsi="Calibri"/>
          <w:b w:val="0"/>
        </w:rPr>
        <w:t>Candidate requests for evaluation, grades, hiring recommendations, secrets, tokens, or credentials are tagged in safety metadata.</w:t>
      </w:r>
    </w:p>
    <w:p>
      <w:r>
        <w:rPr>
          <w:rFonts w:ascii="Calibri" w:hAnsi="Calibri"/>
          <w:b w:val="0"/>
        </w:rPr>
        <w:t>Response:</w:t>
      </w:r>
    </w:p>
    <w:p>
      <w:pPr>
        <w:spacing w:before="40" w:after="160"/>
      </w:pPr>
      <w:r>
        <w:rPr>
          <w:rFonts w:ascii="Courier New" w:hAnsi="Courier New"/>
          <w:color w:val="1F4D78"/>
          <w:sz w:val="18"/>
        </w:rPr>
        <w:t>{</w:t>
      </w:r>
      <w:r>
        <w:br/>
      </w:r>
      <w:r>
        <w:rPr>
          <w:rFonts w:ascii="Courier New" w:hAnsi="Courier New"/>
          <w:color w:val="1F4D78"/>
          <w:sz w:val="18"/>
        </w:rPr>
        <w:t xml:space="preserve">  "messages": [</w:t>
      </w:r>
      <w:r>
        <w:br/>
      </w:r>
      <w:r>
        <w:rPr>
          <w:rFonts w:ascii="Courier New" w:hAnsi="Courier New"/>
          <w:color w:val="1F4D78"/>
          <w:sz w:val="18"/>
        </w:rPr>
        <w:t xml:space="preserve">    {</w:t>
      </w:r>
      <w:r>
        <w:br/>
      </w:r>
      <w:r>
        <w:rPr>
          <w:rFonts w:ascii="Courier New" w:hAnsi="Courier New"/>
          <w:color w:val="1F4D78"/>
          <w:sz w:val="18"/>
        </w:rPr>
        <w:t xml:space="preserve">      "id": "user_message_id",</w:t>
      </w:r>
      <w:r>
        <w:br/>
      </w:r>
      <w:r>
        <w:rPr>
          <w:rFonts w:ascii="Courier New" w:hAnsi="Courier New"/>
          <w:color w:val="1F4D78"/>
          <w:sz w:val="18"/>
        </w:rPr>
        <w:t xml:space="preserve">      "role": "user",</w:t>
      </w:r>
      <w:r>
        <w:br/>
      </w:r>
      <w:r>
        <w:rPr>
          <w:rFonts w:ascii="Courier New" w:hAnsi="Courier New"/>
          <w:color w:val="1F4D78"/>
          <w:sz w:val="18"/>
        </w:rPr>
        <w:t xml:space="preserve">      "content": "How should I approach the failing checkout tests?",</w:t>
      </w:r>
      <w:r>
        <w:br/>
      </w:r>
      <w:r>
        <w:rPr>
          <w:rFonts w:ascii="Courier New" w:hAnsi="Courier New"/>
          <w:color w:val="1F4D78"/>
          <w:sz w:val="18"/>
        </w:rPr>
        <w:t xml:space="preserve">      "createdAt": "2026-05-18T00:00:00.000Z",</w:t>
      </w:r>
      <w:r>
        <w:br/>
      </w:r>
      <w:r>
        <w:rPr>
          <w:rFonts w:ascii="Courier New" w:hAnsi="Courier New"/>
          <w:color w:val="1F4D78"/>
          <w:sz w:val="18"/>
        </w:rPr>
        <w:t xml:space="preserve">      "tokenUsage": null</w:t>
      </w:r>
      <w:r>
        <w:br/>
      </w:r>
      <w:r>
        <w:rPr>
          <w:rFonts w:ascii="Courier New" w:hAnsi="Courier New"/>
          <w:color w:val="1F4D78"/>
          <w:sz w:val="18"/>
        </w:rPr>
        <w:t xml:space="preserve">    },</w:t>
      </w:r>
      <w:r>
        <w:br/>
      </w:r>
      <w:r>
        <w:rPr>
          <w:rFonts w:ascii="Courier New" w:hAnsi="Courier New"/>
          <w:color w:val="1F4D78"/>
          <w:sz w:val="18"/>
        </w:rPr>
        <w:t xml:space="preserve">    {</w:t>
      </w:r>
      <w:r>
        <w:br/>
      </w:r>
      <w:r>
        <w:rPr>
          <w:rFonts w:ascii="Courier New" w:hAnsi="Courier New"/>
          <w:color w:val="1F4D78"/>
          <w:sz w:val="18"/>
        </w:rPr>
        <w:t xml:space="preserve">      "id": "assistant_message_id",</w:t>
      </w:r>
      <w:r>
        <w:br/>
      </w:r>
      <w:r>
        <w:rPr>
          <w:rFonts w:ascii="Courier New" w:hAnsi="Courier New"/>
          <w:color w:val="1F4D78"/>
          <w:sz w:val="18"/>
        </w:rPr>
        <w:t xml:space="preserve">      "role": "assistant",</w:t>
      </w:r>
      <w:r>
        <w:br/>
      </w:r>
      <w:r>
        <w:rPr>
          <w:rFonts w:ascii="Courier New" w:hAnsi="Courier New"/>
          <w:color w:val="1F4D78"/>
          <w:sz w:val="18"/>
        </w:rPr>
        <w:t xml:space="preserve">      "content": "Start in the Terminal / tests panel with `npm test`...",</w:t>
      </w:r>
      <w:r>
        <w:br/>
      </w:r>
      <w:r>
        <w:rPr>
          <w:rFonts w:ascii="Courier New" w:hAnsi="Courier New"/>
          <w:color w:val="1F4D78"/>
          <w:sz w:val="18"/>
        </w:rPr>
        <w:t xml:space="preserve">      "createdAt": "2026-05-18T00:00:01.000Z",</w:t>
      </w:r>
      <w:r>
        <w:br/>
      </w:r>
      <w:r>
        <w:rPr>
          <w:rFonts w:ascii="Courier New" w:hAnsi="Courier New"/>
          <w:color w:val="1F4D78"/>
          <w:sz w:val="18"/>
        </w:rPr>
        <w:t xml:space="preserve">      "tokenUsage": {</w:t>
      </w:r>
      <w:r>
        <w:br/>
      </w:r>
      <w:r>
        <w:rPr>
          <w:rFonts w:ascii="Courier New" w:hAnsi="Courier New"/>
          <w:color w:val="1F4D78"/>
          <w:sz w:val="18"/>
        </w:rPr>
        <w:t xml:space="preserve">        "promptTokens": 100,</w:t>
      </w:r>
      <w:r>
        <w:br/>
      </w:r>
      <w:r>
        <w:rPr>
          <w:rFonts w:ascii="Courier New" w:hAnsi="Courier New"/>
          <w:color w:val="1F4D78"/>
          <w:sz w:val="18"/>
        </w:rPr>
        <w:t xml:space="preserve">        "completionTokens": 50,</w:t>
      </w:r>
      <w:r>
        <w:br/>
      </w:r>
      <w:r>
        <w:rPr>
          <w:rFonts w:ascii="Courier New" w:hAnsi="Courier New"/>
          <w:color w:val="1F4D78"/>
          <w:sz w:val="18"/>
        </w:rPr>
        <w:t xml:space="preserve">        "totalTokens": 150,</w:t>
      </w:r>
      <w:r>
        <w:br/>
      </w:r>
      <w:r>
        <w:rPr>
          <w:rFonts w:ascii="Courier New" w:hAnsi="Courier New"/>
          <w:color w:val="1F4D78"/>
          <w:sz w:val="18"/>
        </w:rPr>
        <w:t xml:space="preserve">        "tokenSource": "estimated"</w:t>
      </w:r>
      <w:r>
        <w:br/>
      </w:r>
      <w:r>
        <w:rPr>
          <w:rFonts w:ascii="Courier New" w:hAnsi="Courier New"/>
          <w:color w:val="1F4D78"/>
          <w:sz w:val="18"/>
        </w:rPr>
        <w:t xml:space="preserve">      }</w:t>
      </w:r>
      <w:r>
        <w:br/>
      </w:r>
      <w:r>
        <w:rPr>
          <w:rFonts w:ascii="Courier New" w:hAnsi="Courier New"/>
          <w:color w:val="1F4D78"/>
          <w:sz w:val="18"/>
        </w:rPr>
        <w:t xml:space="preserve">    }</w:t>
      </w:r>
      <w:r>
        <w:br/>
      </w:r>
      <w:r>
        <w:rPr>
          <w:rFonts w:ascii="Courier New" w:hAnsi="Courier New"/>
          <w:color w:val="1F4D78"/>
          <w:sz w:val="18"/>
        </w:rPr>
        <w:t xml:space="preserve">  ]</w:t>
      </w:r>
      <w:r>
        <w:br/>
      </w:r>
      <w:r>
        <w:rPr>
          <w:rFonts w:ascii="Courier New" w:hAnsi="Courier New"/>
          <w:color w:val="1F4D78"/>
          <w:sz w:val="18"/>
        </w:rPr>
        <w:t>}</w:t>
      </w:r>
    </w:p>
    <w:p>
      <w:pPr>
        <w:pStyle w:val="Heading3"/>
        <w:keepNext/>
      </w:pPr>
      <w:r>
        <w:t>`POST /api/session/[sessionToken]/submit`</w:t>
      </w:r>
    </w:p>
    <w:p>
      <w:r>
        <w:rPr>
          <w:rFonts w:ascii="Calibri" w:hAnsi="Calibri"/>
          <w:b w:val="0"/>
        </w:rPr>
        <w:t>Closes the candidate session and generates the evidence-backed evaluation report.</w:t>
      </w:r>
    </w:p>
    <w:p>
      <w:r>
        <w:rPr>
          <w:rFonts w:ascii="Calibri" w:hAnsi="Calibri"/>
          <w:b w:val="0"/>
        </w:rPr>
        <w:t>Request body:</w:t>
      </w:r>
    </w:p>
    <w:p>
      <w:pPr>
        <w:spacing w:before="40" w:after="160"/>
      </w:pPr>
      <w:r>
        <w:rPr>
          <w:rFonts w:ascii="Courier New" w:hAnsi="Courier New"/>
          <w:color w:val="1F4D78"/>
          <w:sz w:val="18"/>
        </w:rPr>
        <w:t>{}</w:t>
      </w:r>
    </w:p>
    <w:p>
      <w:r>
        <w:rPr>
          <w:rFonts w:ascii="Calibri" w:hAnsi="Calibri"/>
          <w:b w:val="0"/>
        </w:rPr>
        <w:t>Behavior:</w:t>
      </w:r>
    </w:p>
    <w:p>
      <w:pPr>
        <w:pStyle w:val="ListBullet"/>
      </w:pPr>
      <w:r>
        <w:rPr>
          <w:rFonts w:ascii="Calibri" w:hAnsi="Calibri"/>
          <w:b w:val="0"/>
        </w:rPr>
        <w:t>If the report already exists, the endpoint is idempotent and returns the existing completion/report URLs.</w:t>
      </w:r>
    </w:p>
    <w:p>
      <w:pPr>
        <w:pStyle w:val="ListBullet"/>
      </w:pPr>
      <w:r>
        <w:rPr>
          <w:rFonts w:ascii="Calibri" w:hAnsi="Calibri"/>
          <w:b w:val="0"/>
        </w:rPr>
        <w:t xml:space="preserve">Otherwise, the session status becomes </w:t>
      </w:r>
      <w:r>
        <w:rPr>
          <w:rFonts w:ascii="Courier New" w:hAnsi="Courier New"/>
          <w:b w:val="0"/>
          <w:color w:val="1F4D78"/>
          <w:sz w:val="20"/>
        </w:rPr>
        <w:t>submitted</w:t>
      </w:r>
      <w:r>
        <w:rPr>
          <w:rFonts w:ascii="Calibri" w:hAnsi="Calibri"/>
          <w:b w:val="0"/>
        </w:rPr>
        <w:t xml:space="preserve">, </w:t>
      </w:r>
      <w:r>
        <w:rPr>
          <w:rFonts w:ascii="Courier New" w:hAnsi="Courier New"/>
          <w:b w:val="0"/>
          <w:color w:val="1F4D78"/>
          <w:sz w:val="20"/>
        </w:rPr>
        <w:t>submittedAt</w:t>
      </w:r>
      <w:r>
        <w:rPr>
          <w:rFonts w:ascii="Calibri" w:hAnsi="Calibri"/>
          <w:b w:val="0"/>
        </w:rPr>
        <w:t xml:space="preserve"> is set, </w:t>
      </w:r>
      <w:r>
        <w:rPr>
          <w:rFonts w:ascii="Courier New" w:hAnsi="Courier New"/>
          <w:b w:val="0"/>
          <w:color w:val="1F4D78"/>
          <w:sz w:val="20"/>
        </w:rPr>
        <w:t>session_ended</w:t>
      </w:r>
      <w:r>
        <w:rPr>
          <w:rFonts w:ascii="Calibri" w:hAnsi="Calibri"/>
          <w:b w:val="0"/>
        </w:rPr>
        <w:t xml:space="preserve"> telemetry is logged, and </w:t>
      </w:r>
      <w:r>
        <w:rPr>
          <w:rFonts w:ascii="Courier New" w:hAnsi="Courier New"/>
          <w:b w:val="0"/>
          <w:color w:val="1F4D78"/>
          <w:sz w:val="20"/>
        </w:rPr>
        <w:t>generateEvaluationReport</w:t>
      </w:r>
      <w:r>
        <w:rPr>
          <w:rFonts w:ascii="Calibri" w:hAnsi="Calibri"/>
          <w:b w:val="0"/>
        </w:rPr>
        <w:t xml:space="preserve"> creates </w:t>
      </w:r>
      <w:r>
        <w:rPr>
          <w:rFonts w:ascii="Courier New" w:hAnsi="Courier New"/>
          <w:b w:val="0"/>
          <w:color w:val="1F4D78"/>
          <w:sz w:val="20"/>
        </w:rPr>
        <w:t>EvaluationReport</w:t>
      </w:r>
      <w:r>
        <w:rPr>
          <w:rFonts w:ascii="Calibri" w:hAnsi="Calibri"/>
          <w:b w:val="0"/>
        </w:rPr>
        <w:t xml:space="preserve"> and </w:t>
      </w:r>
      <w:r>
        <w:rPr>
          <w:rFonts w:ascii="Courier New" w:hAnsi="Courier New"/>
          <w:b w:val="0"/>
          <w:color w:val="1F4D78"/>
          <w:sz w:val="20"/>
        </w:rPr>
        <w:t>ScoreDimension</w:t>
      </w:r>
      <w:r>
        <w:rPr>
          <w:rFonts w:ascii="Calibri" w:hAnsi="Calibri"/>
          <w:b w:val="0"/>
        </w:rPr>
        <w:t xml:space="preserve"> rows.</w:t>
      </w:r>
    </w:p>
    <w:p>
      <w:pPr>
        <w:pStyle w:val="ListBullet"/>
      </w:pPr>
      <w:r>
        <w:rPr>
          <w:rFonts w:ascii="Calibri" w:hAnsi="Calibri"/>
          <w:b w:val="0"/>
        </w:rPr>
        <w:t xml:space="preserve">Reports use the fixed </w:t>
      </w:r>
      <w:r>
        <w:rPr>
          <w:rFonts w:ascii="Courier New" w:hAnsi="Courier New"/>
          <w:b w:val="0"/>
          <w:color w:val="1F4D78"/>
          <w:sz w:val="20"/>
        </w:rPr>
        <w:t>ai-collaboration-v1</w:t>
      </w:r>
      <w:r>
        <w:rPr>
          <w:rFonts w:ascii="Calibri" w:hAnsi="Calibri"/>
          <w:b w:val="0"/>
        </w:rPr>
        <w:t xml:space="preserve"> 8-dimension rubric unless a future rubric version is intentionally introduced.</w:t>
      </w:r>
    </w:p>
    <w:p>
      <w:r>
        <w:rPr>
          <w:rFonts w:ascii="Calibri" w:hAnsi="Calibri"/>
          <w:b w:val="0"/>
        </w:rPr>
        <w:t>Response:</w:t>
      </w:r>
    </w:p>
    <w:p>
      <w:pPr>
        <w:spacing w:before="40" w:after="160"/>
      </w:pPr>
      <w:r>
        <w:rPr>
          <w:rFonts w:ascii="Courier New" w:hAnsi="Courier New"/>
          <w:color w:val="1F4D78"/>
          <w:sz w:val="18"/>
        </w:rPr>
        <w:t>{</w:t>
      </w:r>
      <w:r>
        <w:br/>
      </w:r>
      <w:r>
        <w:rPr>
          <w:rFonts w:ascii="Courier New" w:hAnsi="Courier New"/>
          <w:color w:val="1F4D78"/>
          <w:sz w:val="18"/>
        </w:rPr>
        <w:t xml:space="preserve">  "completionUrl": "/session/session_token/complete",</w:t>
      </w:r>
      <w:r>
        <w:br/>
      </w:r>
      <w:r>
        <w:rPr>
          <w:rFonts w:ascii="Courier New" w:hAnsi="Courier New"/>
          <w:color w:val="1F4D78"/>
          <w:sz w:val="18"/>
        </w:rPr>
        <w:t xml:space="preserve">  "reportUrl": "/dashboard/reports/session_id",</w:t>
      </w:r>
      <w:r>
        <w:br/>
      </w:r>
      <w:r>
        <w:rPr>
          <w:rFonts w:ascii="Courier New" w:hAnsi="Courier New"/>
          <w:color w:val="1F4D78"/>
          <w:sz w:val="18"/>
        </w:rPr>
        <w:t xml:space="preserve">  "reportId": "report_id"</w:t>
      </w:r>
      <w:r>
        <w:br/>
      </w:r>
      <w:r>
        <w:rPr>
          <w:rFonts w:ascii="Courier New" w:hAnsi="Courier New"/>
          <w:color w:val="1F4D78"/>
          <w:sz w:val="18"/>
        </w:rPr>
        <w:t>}</w:t>
      </w:r>
    </w:p>
    <w:p>
      <w:pPr>
        <w:pStyle w:val="Heading2"/>
        <w:keepNext/>
      </w:pPr>
      <w:r>
        <w:t>Report Export APIs</w:t>
      </w:r>
    </w:p>
    <w:p>
      <w:pPr>
        <w:pStyle w:val="Heading3"/>
        <w:keepNext/>
      </w:pPr>
      <w:r>
        <w:t>`GET /api/reports/[sessionId]/export`</w:t>
      </w:r>
    </w:p>
    <w:p>
      <w:r>
        <w:rPr>
          <w:rFonts w:ascii="Calibri" w:hAnsi="Calibri"/>
          <w:b w:val="0"/>
        </w:rPr>
        <w:t>Exports the same evidence used by the hiring-team report view. This route requires the demo hiring-team cookie and workspace-scopes the session lookup before returning data.</w:t>
      </w:r>
    </w:p>
    <w:p>
      <w:r>
        <w:rPr>
          <w:rFonts w:ascii="Calibri" w:hAnsi="Calibri"/>
          <w:b w:val="0"/>
        </w:rPr>
        <w:t>Query parameters:</w:t>
      </w:r>
    </w:p>
    <w:tbl>
      <w:tblPr>
        <w:tblStyle w:val="TableGrid"/>
        <w:tblW w:type="dxa" w:w="9360"/>
        <w:jc w:val="left"/>
        <w:tblLayout w:type="fixed"/>
        <w:tblLook w:firstColumn="1" w:firstRow="1" w:lastColumn="0" w:lastRow="0" w:noHBand="0" w:noVBand="1" w:val="04A0"/>
        <w:tblInd w:w="120" w:type="dxa"/>
        <w:tblCellMar>
          <w:top w:w="80" w:type="dxa"/>
          <w:start w:w="120" w:type="dxa"/>
          <w:bottom w:w="80" w:type="dxa"/>
          <w:end w:w="120" w:type="dxa"/>
        </w:tblCellMar>
      </w:tblPr>
      <w:tblGrid>
        <w:gridCol w:w="2340"/>
        <w:gridCol w:w="2340"/>
        <w:gridCol w:w="2340"/>
        <w:gridCol w:w="2340"/>
      </w:tblGrid>
      <w:tr>
        <w:tc>
          <w:tcPr>
            <w:tcW w:type="dxa" w:w="1100"/>
            <w:vAlign w:val="center"/>
            <w:shd w:fill="F2F4F7"/>
          </w:tcPr>
          <w:p>
            <w:pPr>
              <w:spacing w:after="0"/>
            </w:pPr>
            <w:r>
              <w:rPr>
                <w:rFonts w:ascii="Calibri" w:hAnsi="Calibri"/>
                <w:b/>
              </w:rPr>
              <w:t>Name</w:t>
            </w:r>
          </w:p>
        </w:tc>
        <w:tc>
          <w:tcPr>
            <w:tcW w:type="dxa" w:w="1100"/>
            <w:vAlign w:val="center"/>
            <w:shd w:fill="F2F4F7"/>
          </w:tcPr>
          <w:p>
            <w:pPr>
              <w:spacing w:after="0"/>
            </w:pPr>
            <w:r>
              <w:rPr>
                <w:rFonts w:ascii="Calibri" w:hAnsi="Calibri"/>
                <w:b/>
              </w:rPr>
              <w:t>Required</w:t>
            </w:r>
          </w:p>
        </w:tc>
        <w:tc>
          <w:tcPr>
            <w:tcW w:type="dxa" w:w="1792"/>
            <w:vAlign w:val="center"/>
            <w:shd w:fill="F2F4F7"/>
          </w:tcPr>
          <w:p>
            <w:pPr>
              <w:spacing w:after="0"/>
            </w:pPr>
            <w:r>
              <w:rPr>
                <w:rFonts w:ascii="Calibri" w:hAnsi="Calibri"/>
                <w:b/>
              </w:rPr>
              <w:t>Values</w:t>
            </w:r>
          </w:p>
        </w:tc>
        <w:tc>
          <w:tcPr>
            <w:tcW w:type="dxa" w:w="5368"/>
            <w:vAlign w:val="center"/>
            <w:shd w:fill="F2F4F7"/>
          </w:tcPr>
          <w:p>
            <w:pPr>
              <w:spacing w:after="0"/>
            </w:pPr>
            <w:r>
              <w:rPr>
                <w:rFonts w:ascii="Calibri" w:hAnsi="Calibri"/>
                <w:b/>
              </w:rPr>
              <w:t>Description</w:t>
            </w:r>
          </w:p>
        </w:tc>
      </w:tr>
      <w:tr>
        <w:tc>
          <w:tcPr>
            <w:tcW w:type="dxa" w:w="1100"/>
            <w:vAlign w:val="center"/>
          </w:tcPr>
          <w:p>
            <w:pPr>
              <w:spacing w:after="0"/>
            </w:pPr>
            <w:r>
              <w:rPr>
                <w:rFonts w:ascii="Courier New" w:hAnsi="Courier New"/>
                <w:b w:val="0"/>
                <w:color w:val="1F4D78"/>
                <w:sz w:val="20"/>
              </w:rPr>
              <w:t>format</w:t>
            </w:r>
          </w:p>
        </w:tc>
        <w:tc>
          <w:tcPr>
            <w:tcW w:type="dxa" w:w="1100"/>
            <w:vAlign w:val="center"/>
          </w:tcPr>
          <w:p>
            <w:pPr>
              <w:spacing w:after="0"/>
            </w:pPr>
            <w:r>
              <w:rPr>
                <w:rFonts w:ascii="Calibri" w:hAnsi="Calibri"/>
                <w:b w:val="0"/>
              </w:rPr>
              <w:t>No</w:t>
            </w:r>
          </w:p>
        </w:tc>
        <w:tc>
          <w:tcPr>
            <w:tcW w:type="dxa" w:w="1792"/>
            <w:vAlign w:val="center"/>
          </w:tcPr>
          <w:p>
            <w:pPr>
              <w:spacing w:after="0"/>
            </w:pPr>
            <w:r>
              <w:rPr>
                <w:rFonts w:ascii="Courier New" w:hAnsi="Courier New"/>
                <w:b w:val="0"/>
                <w:color w:val="1F4D78"/>
                <w:sz w:val="20"/>
              </w:rPr>
              <w:t>markdown</w:t>
            </w:r>
            <w:r>
              <w:rPr>
                <w:rFonts w:ascii="Calibri" w:hAnsi="Calibri"/>
                <w:b w:val="0"/>
              </w:rPr>
              <w:t xml:space="preserve">, </w:t>
            </w:r>
            <w:r>
              <w:rPr>
                <w:rFonts w:ascii="Courier New" w:hAnsi="Courier New"/>
                <w:b w:val="0"/>
                <w:color w:val="1F4D78"/>
                <w:sz w:val="20"/>
              </w:rPr>
              <w:t>json</w:t>
            </w:r>
          </w:p>
        </w:tc>
        <w:tc>
          <w:tcPr>
            <w:tcW w:type="dxa" w:w="5368"/>
            <w:vAlign w:val="center"/>
          </w:tcPr>
          <w:p>
            <w:pPr>
              <w:spacing w:after="0"/>
            </w:pPr>
            <w:r>
              <w:rPr>
                <w:rFonts w:ascii="Calibri" w:hAnsi="Calibri"/>
                <w:b w:val="0"/>
              </w:rPr>
              <w:t xml:space="preserve">Defaults to </w:t>
            </w:r>
            <w:r>
              <w:rPr>
                <w:rFonts w:ascii="Courier New" w:hAnsi="Courier New"/>
                <w:b w:val="0"/>
                <w:color w:val="1F4D78"/>
                <w:sz w:val="20"/>
              </w:rPr>
              <w:t>markdown</w:t>
            </w:r>
            <w:r>
              <w:rPr>
                <w:rFonts w:ascii="Calibri" w:hAnsi="Calibri"/>
                <w:b w:val="0"/>
              </w:rPr>
              <w:t xml:space="preserve">. Unsupported values return </w:t>
            </w:r>
            <w:r>
              <w:rPr>
                <w:rFonts w:ascii="Courier New" w:hAnsi="Courier New"/>
                <w:b w:val="0"/>
                <w:color w:val="1F4D78"/>
                <w:sz w:val="20"/>
              </w:rPr>
              <w:t>400</w:t>
            </w:r>
            <w:r>
              <w:rPr>
                <w:rFonts w:ascii="Calibri" w:hAnsi="Calibri"/>
                <w:b w:val="0"/>
              </w:rPr>
              <w:t>.</w:t>
            </w:r>
          </w:p>
        </w:tc>
      </w:tr>
    </w:tbl>
    <w:p>
      <w:pPr>
        <w:spacing w:after="40"/>
      </w:pPr>
    </w:p>
    <w:p>
      <w:r>
        <w:rPr>
          <w:rFonts w:ascii="Calibri" w:hAnsi="Calibri"/>
          <w:b w:val="0"/>
        </w:rPr>
        <w:t>Response:</w:t>
      </w:r>
    </w:p>
    <w:p>
      <w:pPr>
        <w:pStyle w:val="ListBullet"/>
      </w:pPr>
      <w:r>
        <w:rPr>
          <w:rFonts w:ascii="Courier New" w:hAnsi="Courier New"/>
          <w:b w:val="0"/>
          <w:color w:val="1F4D78"/>
          <w:sz w:val="20"/>
        </w:rPr>
        <w:t>200</w:t>
      </w:r>
      <w:r>
        <w:rPr>
          <w:rFonts w:ascii="Calibri" w:hAnsi="Calibri"/>
          <w:b w:val="0"/>
        </w:rPr>
        <w:t xml:space="preserve"> attachment with </w:t>
      </w:r>
      <w:r>
        <w:rPr>
          <w:rFonts w:ascii="Courier New" w:hAnsi="Courier New"/>
          <w:b w:val="0"/>
          <w:color w:val="1F4D78"/>
          <w:sz w:val="20"/>
        </w:rPr>
        <w:t>Content-Disposition</w:t>
      </w:r>
      <w:r>
        <w:rPr>
          <w:rFonts w:ascii="Calibri" w:hAnsi="Calibri"/>
          <w:b w:val="0"/>
        </w:rPr>
        <w:t>.</w:t>
      </w:r>
    </w:p>
    <w:p>
      <w:pPr>
        <w:pStyle w:val="ListBullet"/>
      </w:pPr>
      <w:r>
        <w:rPr>
          <w:rFonts w:ascii="Courier New" w:hAnsi="Courier New"/>
          <w:b w:val="0"/>
          <w:color w:val="1F4D78"/>
          <w:sz w:val="20"/>
        </w:rPr>
        <w:t>text/markdown; charset=utf-8</w:t>
      </w:r>
      <w:r>
        <w:rPr>
          <w:rFonts w:ascii="Calibri" w:hAnsi="Calibri"/>
          <w:b w:val="0"/>
        </w:rPr>
        <w:t xml:space="preserve"> for reviewer narrative export.</w:t>
      </w:r>
    </w:p>
    <w:p>
      <w:pPr>
        <w:pStyle w:val="ListBullet"/>
      </w:pPr>
      <w:r>
        <w:rPr>
          <w:rFonts w:ascii="Courier New" w:hAnsi="Courier New"/>
          <w:b w:val="0"/>
          <w:color w:val="1F4D78"/>
          <w:sz w:val="20"/>
        </w:rPr>
        <w:t>application/json; charset=utf-8</w:t>
      </w:r>
      <w:r>
        <w:rPr>
          <w:rFonts w:ascii="Calibri" w:hAnsi="Calibri"/>
          <w:b w:val="0"/>
        </w:rPr>
        <w:t xml:space="preserve"> for structured audit/export use.</w:t>
      </w:r>
    </w:p>
    <w:p>
      <w:pPr>
        <w:pStyle w:val="ListBullet"/>
      </w:pPr>
      <w:r>
        <w:rPr>
          <w:rFonts w:ascii="Courier New" w:hAnsi="Courier New"/>
          <w:b w:val="0"/>
          <w:color w:val="1F4D78"/>
          <w:sz w:val="20"/>
        </w:rPr>
        <w:t>404</w:t>
      </w:r>
      <w:r>
        <w:rPr>
          <w:rFonts w:ascii="Calibri" w:hAnsi="Calibri"/>
          <w:b w:val="0"/>
        </w:rPr>
        <w:t xml:space="preserve"> when the session has no generated report in the current workspace.</w:t>
      </w:r>
    </w:p>
    <w:p>
      <w:r>
        <w:rPr>
          <w:rFonts w:ascii="Calibri" w:hAnsi="Calibri"/>
          <w:b w:val="0"/>
        </w:rPr>
        <w:t>The JSON export includes candidate metadata, assessment metadata, parsed report JSON, AI messages, command runs/test results, diff evidence, and final files. The Markdown export includes summary, risk flags, areas for growth, score breakdown, key moments, narrative phases, commands, AI transcript, changed files, and final file inventory.</w:t>
      </w:r>
    </w:p>
    <w:p>
      <w:pPr>
        <w:pStyle w:val="Heading2"/>
        <w:keepNext/>
      </w:pPr>
      <w:r>
        <w:t>Report Evidence Contract</w:t>
      </w:r>
    </w:p>
    <w:p>
      <w:r>
        <w:rPr>
          <w:rFonts w:ascii="Calibri" w:hAnsi="Calibri"/>
          <w:b w:val="0"/>
        </w:rPr>
        <w:t>The report generator currently aggregates:</w:t>
      </w:r>
    </w:p>
    <w:p>
      <w:pPr>
        <w:pStyle w:val="ListBullet"/>
      </w:pPr>
      <w:r>
        <w:rPr>
          <w:rFonts w:ascii="Calibri" w:hAnsi="Calibri"/>
          <w:b w:val="0"/>
        </w:rPr>
        <w:t>Candidate/session metadata.</w:t>
      </w:r>
    </w:p>
    <w:p>
      <w:pPr>
        <w:pStyle w:val="ListBullet"/>
      </w:pPr>
      <w:r>
        <w:rPr>
          <w:rFonts w:ascii="Calibri" w:hAnsi="Calibri"/>
          <w:b w:val="0"/>
        </w:rPr>
        <w:t>File snapshots and final diff evidence.</w:t>
      </w:r>
    </w:p>
    <w:p>
      <w:pPr>
        <w:pStyle w:val="ListBullet"/>
      </w:pPr>
      <w:r>
        <w:rPr>
          <w:rFonts w:ascii="Calibri" w:hAnsi="Calibri"/>
          <w:b w:val="0"/>
        </w:rPr>
        <w:t>AI prompt/response counts, token usage, guardrail/fallback mix, and AI transcript.</w:t>
      </w:r>
    </w:p>
    <w:p>
      <w:pPr>
        <w:pStyle w:val="ListBullet"/>
      </w:pPr>
      <w:r>
        <w:rPr>
          <w:rFonts w:ascii="Calibri" w:hAnsi="Calibri"/>
          <w:b w:val="0"/>
        </w:rPr>
        <w:t xml:space="preserve">Broad takeover prompts such as asking the assistant to review/fix the whole codebase are surfaced through </w:t>
      </w:r>
      <w:r>
        <w:rPr>
          <w:rFonts w:ascii="Courier New" w:hAnsi="Courier New"/>
          <w:b w:val="0"/>
          <w:color w:val="1F4D78"/>
          <w:sz w:val="20"/>
        </w:rPr>
        <w:t>ai_overdelegation_risk</w:t>
      </w:r>
      <w:r>
        <w:rPr>
          <w:rFonts w:ascii="Calibri" w:hAnsi="Calibri"/>
          <w:b w:val="0"/>
        </w:rPr>
        <w:t xml:space="preserve"> when independent implementation or verification evidence is weak.</w:t>
      </w:r>
    </w:p>
    <w:p>
      <w:pPr>
        <w:pStyle w:val="ListBullet"/>
      </w:pPr>
      <w:r>
        <w:rPr>
          <w:rFonts w:ascii="Calibri" w:hAnsi="Calibri"/>
          <w:b w:val="0"/>
        </w:rPr>
        <w:t>Command/test rows and stream-labeled command output.</w:t>
      </w:r>
    </w:p>
    <w:p>
      <w:pPr>
        <w:pStyle w:val="ListBullet"/>
      </w:pPr>
      <w:r>
        <w:rPr>
          <w:rFonts w:ascii="Calibri" w:hAnsi="Calibri"/>
          <w:b w:val="0"/>
        </w:rPr>
        <w:t>Sandbox provider IDs, run IDs, readiness statuses, capability statuses/gaps, execution modes, isolation levels, network policies, environment policies, resource limits, cleanup statuses, workspace manifest paths/digests, and skipped reasons.</w:t>
      </w:r>
    </w:p>
    <w:p>
      <w:pPr>
        <w:pStyle w:val="ListBullet"/>
      </w:pPr>
      <w:r>
        <w:rPr>
          <w:rFonts w:ascii="Calibri" w:hAnsi="Calibri"/>
          <w:b w:val="0"/>
        </w:rPr>
        <w:t>Important checkpoint events only, not every raw telemetry event.</w:t>
      </w:r>
    </w:p>
    <w:p>
      <w:pPr>
        <w:pStyle w:val="ListBullet"/>
      </w:pPr>
      <w:r>
        <w:rPr>
          <w:rFonts w:ascii="Calibri" w:hAnsi="Calibri"/>
          <w:b w:val="0"/>
        </w:rPr>
        <w:t xml:space="preserve">Reloaded candidate sessions reconstruct command </w:t>
      </w:r>
      <w:r>
        <w:rPr>
          <w:rFonts w:ascii="Courier New" w:hAnsi="Courier New"/>
          <w:b w:val="0"/>
          <w:color w:val="1F4D78"/>
          <w:sz w:val="20"/>
        </w:rPr>
        <w:t>outputChunks</w:t>
      </w:r>
      <w:r>
        <w:rPr>
          <w:rFonts w:ascii="Calibri" w:hAnsi="Calibri"/>
          <w:b w:val="0"/>
        </w:rPr>
        <w:t xml:space="preserve"> and sandbox metadata from persisted </w:t>
      </w:r>
      <w:r>
        <w:rPr>
          <w:rFonts w:ascii="Courier New" w:hAnsi="Courier New"/>
          <w:b w:val="0"/>
          <w:color w:val="1F4D78"/>
          <w:sz w:val="20"/>
        </w:rPr>
        <w:t>command_output</w:t>
      </w:r>
      <w:r>
        <w:rPr>
          <w:rFonts w:ascii="Calibri" w:hAnsi="Calibri"/>
          <w:b w:val="0"/>
        </w:rPr>
        <w:t xml:space="preserve"> / finished command events, so a browser refresh does not hide provider evidence already captured for the run.</w:t>
      </w:r>
    </w:p>
    <w:p>
      <w:r>
        <w:rPr>
          <w:rFonts w:ascii="Calibri" w:hAnsi="Calibri"/>
          <w:b w:val="0"/>
        </w:rPr>
        <w:t xml:space="preserve">Sandbox metadata is audit context, not a score by itself. Non-production provider evidence must remain visibly labeled through </w:t>
      </w:r>
      <w:r>
        <w:rPr>
          <w:rFonts w:ascii="Courier New" w:hAnsi="Courier New"/>
          <w:b w:val="0"/>
          <w:color w:val="1F4D78"/>
          <w:sz w:val="20"/>
        </w:rPr>
        <w:t>sandbox_not_production_ready</w:t>
      </w:r>
      <w:r>
        <w:rPr>
          <w:rFonts w:ascii="Calibri" w:hAnsi="Calibri"/>
          <w:b w:val="0"/>
        </w:rPr>
        <w:t xml:space="preserve"> and </w:t>
      </w:r>
      <w:r>
        <w:rPr>
          <w:rFonts w:ascii="Courier New" w:hAnsi="Courier New"/>
          <w:b w:val="0"/>
          <w:color w:val="1F4D78"/>
          <w:sz w:val="20"/>
        </w:rPr>
        <w:t>sandbox_not_production_isolated</w:t>
      </w:r>
      <w:r>
        <w:rPr>
          <w:rFonts w:ascii="Calibri" w:hAnsi="Calibri"/>
          <w:b w:val="0"/>
        </w:rPr>
        <w:t xml:space="preserve"> risk flags until a real production provider exists.</w:t>
      </w:r>
    </w:p>
    <w:p>
      <w:pPr>
        <w:pStyle w:val="Heading2"/>
        <w:keepNext/>
      </w:pPr>
      <w:r>
        <w:t>Manual Verification</w:t>
      </w:r>
    </w:p>
    <w:p>
      <w:r>
        <w:rPr>
          <w:rFonts w:ascii="Calibri" w:hAnsi="Calibri"/>
          <w:b w:val="0"/>
        </w:rPr>
        <w:t>Run these only when explicitly authorized:</w:t>
      </w:r>
    </w:p>
    <w:p>
      <w:pPr>
        <w:spacing w:before="40" w:after="160"/>
      </w:pPr>
      <w:r>
        <w:rPr>
          <w:rFonts w:ascii="Courier New" w:hAnsi="Courier New"/>
          <w:color w:val="1F4D78"/>
          <w:sz w:val="18"/>
        </w:rPr>
        <w:t>npm run typecheck</w:t>
      </w:r>
      <w:r>
        <w:br/>
      </w:r>
      <w:r>
        <w:rPr>
          <w:rFonts w:ascii="Courier New" w:hAnsi="Courier New"/>
          <w:color w:val="1F4D78"/>
          <w:sz w:val="18"/>
        </w:rPr>
        <w:t>npm run test:api</w:t>
      </w:r>
      <w:r>
        <w:br/>
      </w:r>
      <w:r>
        <w:rPr>
          <w:rFonts w:ascii="Courier New" w:hAnsi="Courier New"/>
          <w:color w:val="1F4D78"/>
          <w:sz w:val="18"/>
        </w:rPr>
        <w:t>npm run test:e2e</w:t>
      </w:r>
      <w:r>
        <w:br/>
      </w:r>
      <w:r>
        <w:rPr>
          <w:rFonts w:ascii="Courier New" w:hAnsi="Courier New"/>
          <w:color w:val="1F4D78"/>
          <w:sz w:val="18"/>
        </w:rPr>
        <w:t>npm run build</w:t>
      </w:r>
    </w:p>
    <w:p>
      <w:r>
        <w:rPr>
          <w:rFonts w:ascii="Calibri" w:hAnsi="Calibri"/>
          <w:b w:val="0"/>
        </w:rPr>
        <w:t xml:space="preserve">Use </w:t>
      </w:r>
      <w:r>
        <w:rPr>
          <w:rFonts w:ascii="Courier New" w:hAnsi="Courier New"/>
          <w:b w:val="0"/>
          <w:color w:val="1F4D78"/>
          <w:sz w:val="20"/>
        </w:rPr>
        <w:t>AI_PROVIDER=deterministic</w:t>
      </w:r>
      <w:r>
        <w:rPr>
          <w:rFonts w:ascii="Calibri" w:hAnsi="Calibri"/>
          <w:b w:val="0"/>
        </w:rPr>
        <w:t xml:space="preserve"> for deterministic local checks unless intentionally testing Ollama connectivity or live AI behavior.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36E"/>
        <w:sz w:val="18"/>
      </w:rPr>
      <w:t xml:space="preserve">Page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b/>
        <w:color w:val="5A636E"/>
        <w:sz w:val="18"/>
      </w:rPr>
      <w:t>Hirewave</w:t>
    </w:r>
    <w:r>
      <w:t xml:space="preserve"> | </w:t>
    </w:r>
    <w:r>
      <w:rPr>
        <w:rFonts w:ascii="Calibri" w:hAnsi="Calibri"/>
        <w:color w:val="5A636E"/>
        <w:sz w:val="18"/>
      </w:rPr>
      <w:t>MVP route contracts, telemetry side effects, and sandbox metadata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720" w:hanging="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720" w:hanging="3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