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8E544B0" w14:textId="77777777" w:rsidR="009303D9" w:rsidRDefault="009303D9" w:rsidP="006347CF">
      <w:pPr>
        <w:pStyle w:val="papertitle"/>
        <w:spacing w:before="5pt" w:beforeAutospacing="1" w:after="5pt" w:afterAutospacing="1"/>
      </w:pPr>
      <w:r>
        <w:t>基于借款描述文本的信用违约评估：传统模型与两阶段 LLM 的统一口径实验</w:t>
      </w:r>
    </w:p>
    <w:p w14:paraId="517AC20D" w14:textId="1F2DD9DF" w:rsidR="00D7522C" w:rsidRDefault="00D7522C" w:rsidP="00156B74">
      <w:pPr>
        <w:pStyle w:val="Author"/>
        <w:spacing w:before="5pt" w:beforeAutospacing="1" w:after="5pt" w:afterAutospacing="1"/>
        <w:rPr>
          <w:sz w:val="16"/>
          <w:szCs w:val="16"/>
        </w:rPr>
      </w:pPr>
      <w:r/>
    </w:p>
    <w:p w14:paraId="6D735D0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7DC3BD49" w14:textId="77777777" w:rsidR="001A3B3D" w:rsidRPr="006347CF" w:rsidRDefault="009303D9" w:rsidP="006347CF">
      <w:pPr>
        <w:pStyle w:val="Author"/>
        <w:spacing w:before="5pt" w:beforeAutospacing="1"/>
        <w:rPr>
          <w:sz w:val="18"/>
          <w:szCs w:val="18"/>
        </w:rPr>
        <w:sectPr w:rsidR="001A3B3D" w:rsidRPr="006347CF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  <w:r>
        <w:t>作者：&lt;姓名/学号&gt;</w:t>
        <w:br/>
        <w:t>课程：6800 Final Project</w:t>
        <w:br/>
        <w:t>日期：2026-02-21</w:t>
      </w:r>
    </w:p>
    <w:p w14:paraId="59419620" w14:textId="77777777" w:rsidR="00D72D06" w:rsidRPr="005B520E" w:rsidRDefault="00D72D06"/>
    <w:p w14:paraId="44292629" w14:textId="77777777" w:rsidR="009303D9" w:rsidRPr="005B520E" w:rsidRDefault="009303D9">
      <w:pPr>
        <w:sectPr w:rsidR="009303D9" w:rsidRPr="005B520E">
          <w:type w:val="continuous"/>
          <w:pgSz w:w="612pt" w:h="792pt" w:code="1"/>
          <w:pgMar w:top="54pt" w:right="44.65pt" w:bottom="72pt" w:left="44.65pt" w:header="36pt" w:footer="36pt" w:gutter="0pt"/>
          <w:cols w:space="720" w:num="2"/>
          <w:docGrid w:linePitch="360"/>
        </w:sectPr>
      </w:pPr>
    </w:p>
    <w:p w14:paraId="79A9D93E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04002460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802C4D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53B284A1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296F7C6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4AC0DE4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79DCF0E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2" w:space="720"/>
          <w:docGrid w:linePitch="360"/>
        </w:sectPr>
      </w:pPr>
    </w:p>
    <w:p w14:paraId="267708E4" w14:textId="77777777" w:rsidR="004D72B5" w:rsidRDefault="009303D9" w:rsidP="00972203">
      <w:pPr>
        <w:pStyle w:val="Abstract"/>
        <w:rPr>
          <w:i/>
          <w:iCs/>
        </w:rPr>
      </w:pPr>
      <w:r>
        <w:t>摘要—</w:t>
      </w:r>
    </w:p>
    <w:p w14:paraId="3F9CDE0E" w14:textId="77777777" w:rsidR="009303D9" w:rsidRPr="004D72B5" w:rsidRDefault="004D72B5" w:rsidP="00972203">
      <w:pPr>
        <w:pStyle w:val="Keywords"/>
      </w:pPr>
      <w:r>
        <w:t>关键词—</w:t>
      </w:r>
    </w:p>
    <w:p>
      <w:pPr>
        <w:pStyle w:val="Heading1"/>
      </w:pPr>
      <w:r>
        <w:t>摘要 (Abstract)</w:t>
      </w:r>
    </w:p>
    <w:p>
      <w:pPr>
        <w:pStyle w:val="BodyText"/>
      </w:pPr>
      <w:r>
        <w:t>在网络借贷风控场景中，结构化变量（如利率、信用等级、收入）具有稳定预测能力，但对借款人风险的刻画并不完整。借款文本（如 LendingClub 的 desc 字段）承载还款意愿、财务压力和用途可信度等软信息，是信息不完全条件下的重要补充。本文在统一代码框架下采用两套评估口径：共享高风险子集（n=7108）的固定拒绝率 RR=35% 公平横评，以及全量样本（n=123,202）的实际违约率目标 RR=0.1533。在共享子集可比模型中，DataAnalysis 与 logistic_tabular 表现最佳（Precision@RR 分别为 0.4175 和 0.4154），两阶段 LLM 为 0.3653。扩展比较中，单阶段 LLM 与 GPT-5.2 虽有更高召回（0.6245 与 0.8133），但实际拒绝率显著偏高（0.6097 与 0.8228），不满足同约束公平比较。全量口径下，xgboost_tabular 综合最优（Precision@RR=0.3153, Lift=2.0568）。结论是：在当前训练规模与业务约束下，结构化模型仍应作为主判引擎；LLM 更适合作为解释与复核辅助层，并需先完成拒绝率校准再参与主榜对比。</w:t>
      </w:r>
    </w:p>
    <w:p>
      <w:pPr>
        <w:pStyle w:val="BodyText"/>
      </w:pPr>
      <w:r>
        <w:t>**关键词 (Keywords)**: Credit Risk, LendingClub, Soft Information, P2P Lending, LLM, Fixed Reject Rate, Reproducibility</w:t>
      </w:r>
    </w:p>
    <w:p>
      <w:pPr>
        <w:pStyle w:val="Heading1"/>
      </w:pPr>
      <w:r>
        <w:t>引言 (Introduction)</w:t>
      </w:r>
    </w:p>
    <w:p>
      <w:pPr>
        <w:pStyle w:val="BodyText"/>
      </w:pPr>
      <w:r>
        <w:t>信用风险建模长期是零售信贷与消费金融的核心问题。经典研究已经系统总结了信用评分中的统计分类方法与评估框架 [1], [2]，并在后续实践中扩展到机器学习方法 [3], [4]。在平台型借贷（P2P）环境中，信息不对称更突出，借款描述、社交关系和文本表达方式等软信息对风险识别具有现实价值 [6]-[10]。</w:t>
      </w:r>
    </w:p>
    <w:p>
      <w:pPr>
        <w:pStyle w:val="BodyText"/>
      </w:pPr>
      <w:r>
        <w:t>随着深度学习与大语言模型的发展，文本建模能力显著增强：Transformer 与 BERT 改善了语义表示 [18], [19]，LoRA 等参数高效微调降低了大模型落地门槛 [20]。但“语言能力强”并不自动等价于“业务决策优”，尤其在真实风控约束下，模型必须同时满足阈值可控、误拒误放可解释、跨批次稳定等条件。</w:t>
      </w:r>
    </w:p>
    <w:p>
      <w:pPr>
        <w:pStyle w:val="BodyText"/>
      </w:pPr>
      <w:r>
        <w:t>本项目聚焦一个可操作问题：在拒绝率约束（Reject Rate）下，文本模型是否能够带来可复现的业务增益。本文不追求“离线最高分”，而是强调“同口径、同数据、同切分、同阈值策略”下的公平比较。为避免单一口径偏差，我们同时报告共享子集 RR=35% 公平横评与全量样本口径 RR=0.1533 的结果。</w:t>
      </w:r>
    </w:p>
    <w:p>
      <w:pPr>
        <w:pStyle w:val="BodyText"/>
      </w:pPr>
      <w:r>
        <w:t>本文贡献如下：</w:t>
      </w:r>
    </w:p>
    <w:p>
      <w:pPr>
        <w:pStyle w:val="BodyText"/>
      </w:pPr>
      <w:r>
        <w:t>1. 提供覆盖传统模型、BERT、两阶段/单阶段 LLM 与外部 GPT-5.2 的统一评估框架，并严格对齐数据与切分。</w:t>
      </w:r>
    </w:p>
    <w:p>
      <w:pPr>
        <w:pStyle w:val="BodyText"/>
      </w:pPr>
      <w:r>
        <w:t>2. 在双口径（共享子集 RR=35% 与全量口径 RR=0.1533）下报告主指标，并补充拒绝率扫描、阈值敏感性与置信区间。</w:t>
      </w:r>
    </w:p>
    <w:p>
      <w:pPr>
        <w:pStyle w:val="BodyText"/>
      </w:pPr>
      <w:r>
        <w:t>3. 给出文献脉络驱动的实证解释，明确结构化模型与 LLM 的角色边界。</w:t>
      </w:r>
    </w:p>
    <w:p>
      <w:pPr>
        <w:pStyle w:val="BodyText"/>
      </w:pPr>
      <w:r>
        <w:t>4. 将论文描述与仓库代码路径逐项对齐，提升“报告-代码一致性”和可复现性。</w:t>
      </w:r>
    </w:p>
    <w:p>
      <w:pPr>
        <w:pStyle w:val="Heading1"/>
      </w:pPr>
      <w:r>
        <w:t>主题描述与范围 (Topic Description and Scope)</w:t>
      </w:r>
    </w:p>
    <w:p>
      <w:pPr>
        <w:pStyle w:val="Heading2"/>
      </w:pPr>
      <w:r>
        <w:t>综述主题与重要性</w:t>
      </w:r>
    </w:p>
    <w:p>
      <w:pPr>
        <w:pStyle w:val="BodyText"/>
      </w:pPr>
      <w:r>
        <w:t>本文的综述主题是“借款文本软信息在违约预测中的增量价值”。该主题的重要性体现在两点：</w:t>
      </w:r>
    </w:p>
    <w:p>
      <w:pPr>
        <w:pStyle w:val="BodyText"/>
      </w:pPr>
      <w:r>
        <w:t>1. 信息不完全：放贷方常仅能获得有限结构化字段，难覆盖借款人的真实偿付能力与行为风险。</w:t>
      </w:r>
    </w:p>
    <w:p>
      <w:pPr>
        <w:pStyle w:val="BodyText"/>
      </w:pPr>
      <w:r>
        <w:t>2. 决策可解释性：文本可用于生成风险理由和审核摘要，直接服务于人工复核流程。</w:t>
      </w:r>
    </w:p>
    <w:p>
      <w:pPr>
        <w:pStyle w:val="BodyText"/>
      </w:pPr>
      <w:r>
        <w:t>从文献演进看，该主题经历了“结构化评分 -&gt; P2P 信息不对称 -&gt; 文本软信息 -&gt; 深度文本 -&gt; LLM 辅助决策”的连续链条 [1]-[21]。因此，单纯比较模型分数并不足够；实验结论必须放回文献脉络与业务约束中解释。</w:t>
      </w:r>
    </w:p>
    <w:p>
      <w:pPr>
        <w:pStyle w:val="Heading2"/>
      </w:pPr>
      <w:r>
        <w:t>研究问题（RQs）</w:t>
      </w:r>
    </w:p>
    <w:p>
      <w:pPr>
        <w:pStyle w:val="BodyText"/>
      </w:pPr>
      <w:r>
        <w:t>本文围绕以下四个研究问题：</w:t>
      </w:r>
    </w:p>
    <w:p>
      <w:pPr>
        <w:pStyle w:val="BodyText"/>
      </w:pPr>
      <w:r>
        <w:t>1. RQ1：在统一口径下，文本增强模型是否稳定优于结构化基线？</w:t>
      </w:r>
    </w:p>
    <w:p>
      <w:pPr>
        <w:pStyle w:val="BodyText"/>
      </w:pPr>
      <w:r>
        <w:t>2. RQ2：固定拒绝率约束是否改变模型间相对排序？</w:t>
      </w:r>
    </w:p>
    <w:p>
      <w:pPr>
        <w:pStyle w:val="BodyText"/>
      </w:pPr>
      <w:r>
        <w:t>3. RQ3：两阶段 LLM 的阈值重标定能否显著改善业务指标？</w:t>
      </w:r>
    </w:p>
    <w:p>
      <w:pPr>
        <w:pStyle w:val="BodyText"/>
      </w:pPr>
      <w:r>
        <w:t>4. RQ4：在当前工程实现下，LLM 更适合“主判”还是“辅助解释”？</w:t>
      </w:r>
    </w:p>
    <w:p>
      <w:pPr>
        <w:pStyle w:val="Heading2"/>
      </w:pPr>
      <w:r>
        <w:t>不在本文范围 (Out of Scope)</w:t>
      </w:r>
    </w:p>
    <w:p>
      <w:pPr>
        <w:pStyle w:val="BodyText"/>
      </w:pPr>
      <w:r>
        <w:t>为保证综述与实验聚焦，本文不展开以下方向：</w:t>
      </w:r>
    </w:p>
    <w:p>
      <w:pPr>
        <w:pStyle w:val="BodyText"/>
      </w:pPr>
      <w:r>
        <w:t>1. 反欺诈与身份欺诈检测（目标函数与违约预测不同）。</w:t>
      </w:r>
    </w:p>
    <w:p>
      <w:pPr>
        <w:pStyle w:val="BodyText"/>
      </w:pPr>
      <w:r>
        <w:t>2. 贷后催收策略与动态干预优化。</w:t>
      </w:r>
    </w:p>
    <w:p>
      <w:pPr>
        <w:pStyle w:val="BodyText"/>
      </w:pPr>
      <w:r>
        <w:t>3. 宏观情景压力测试与资产定价联动模型。</w:t>
      </w:r>
    </w:p>
    <w:p>
      <w:pPr>
        <w:pStyle w:val="BodyText"/>
      </w:pPr>
      <w:r>
        <w:t>4. 多模态风控与隐私计算实现细节。</w:t>
      </w:r>
    </w:p>
    <w:p>
      <w:pPr>
        <w:pStyle w:val="Heading1"/>
      </w:pPr>
      <w:r>
        <w:t>文献综述与综合分析 (Literature Review and Synthesis)</w:t>
      </w:r>
    </w:p>
    <w:p>
      <w:pPr>
        <w:pStyle w:val="Heading2"/>
      </w:pPr>
      <w:r>
        <w:t>经典信用评分与机器学习基线</w:t>
      </w:r>
    </w:p>
    <w:p>
      <w:pPr>
        <w:pStyle w:val="BodyText"/>
      </w:pPr>
      <w:r>
        <w:t>Hand 与 Henley 的综述是信用评分方法学的重要起点 [1]，Thomas 则系统总结了行为评分与风险预测实践 [2]。此后，机器学习在消费信贷中的应用逐步成熟，例如 Khandani 等基于大样本验证了 ML 的可行性 [3]。Lessmann 等给出了信用评分分类器的系统基准比较 [4]，而 XGBoost 为后续树模型工程化提供了通用框架 [5]。</w:t>
      </w:r>
    </w:p>
    <w:p>
      <w:pPr>
        <w:pStyle w:val="BodyText"/>
      </w:pPr>
      <w:r>
        <w:t>这一阶段的核心贡献是：明确了“可比较评估协议”的重要性（同样本、同指标、同验证流程）。本文沿用了这一思想，避免跨数据或跨阈值口径比较造成的结论偏差。</w:t>
      </w:r>
    </w:p>
    <w:p>
      <w:pPr>
        <w:pStyle w:val="Heading2"/>
      </w:pPr>
      <w:r>
        <w:t>P2P 借贷中的信息不对称与软信息</w:t>
      </w:r>
    </w:p>
    <w:p>
      <w:pPr>
        <w:pStyle w:val="BodyText"/>
      </w:pPr>
      <w:r>
        <w:t>在 P2P 借贷中，信息不对称更强。Lin 等指出社交网络关系可缓解信息不对称 [6]；Serrano-Cinca 与 Emekter 分别从平台数据实证了结构化风险因子的预测作用 [7], [8]；Iyer 等进一步强调了市场中的“软筛选”机制 [9]。Dorfleitner 等直接验证了描述文本相关软信息的增量价值 [10]。</w:t>
      </w:r>
    </w:p>
    <w:p>
      <w:pPr>
        <w:pStyle w:val="BodyText"/>
      </w:pPr>
      <w:r>
        <w:t>这一路线的关键变化是从“借款人硬信息评分”走向“硬信息 + 软信息联合建模”。本文选用 desc 字段，正是对这一研究传统的延续。</w:t>
      </w:r>
    </w:p>
    <w:p>
      <w:pPr>
        <w:pStyle w:val="Heading2"/>
      </w:pPr>
      <w:r>
        <w:t>文本软信息建模：从特征工程到深度语义</w:t>
      </w:r>
    </w:p>
    <w:p>
      <w:pPr>
        <w:pStyle w:val="BodyText"/>
      </w:pPr>
      <w:r>
        <w:t>Jiang 等、Yao 等、Wang 等（ECRA）和 Xia 等将文本软信息系统引入违约预测，表明叙事文本、标题文本与语义特征均可带来增益 [11]-[14]。Wang 等（JMIS）进一步从语义软因子角度构建更强的文本风险特征 [15]。Kriebel 与 Stitz 则用深度学习建模用户文本，进一步提升文本利用效率 [16]。</w:t>
      </w:r>
    </w:p>
    <w:p>
      <w:pPr>
        <w:pStyle w:val="BodyText"/>
      </w:pPr>
      <w:r>
        <w:t>上述工作共同说明：文本并非噪声字段，其价值取决于表示学习能力、样本规模和业务口径设置。文本模型在离线指标上常有提升，但在固定阈值与稳定运营约束下，其收益可能收敛。</w:t>
      </w:r>
    </w:p>
    <w:p>
      <w:pPr>
        <w:pStyle w:val="Heading2"/>
      </w:pPr>
      <w:r>
        <w:t>LLM 阶段：能力扩展与落地约束</w:t>
      </w:r>
    </w:p>
    <w:p>
      <w:pPr>
        <w:pStyle w:val="BodyText"/>
      </w:pPr>
      <w:r>
        <w:t>Transformer、BERT、LoRA 与 GPT-4 代表了文本建模能力的连续升级 [18]-[21]。与此同时，金融场景研究也在扩大数字行为和非传统信息源的使用范围 [22]。近期工作已开始讨论“文本因子驱动的 P2P 风险管理” [17]。</w:t>
      </w:r>
    </w:p>
    <w:p>
      <w:pPr>
        <w:pStyle w:val="BodyText"/>
      </w:pPr>
      <w:r>
        <w:t>但在风控落地中，LLM 仍面临三类约束：</w:t>
      </w:r>
    </w:p>
    <w:p>
      <w:pPr>
        <w:pStyle w:val="BodyText"/>
      </w:pPr>
      <w:r>
        <w:t>1. 决策稳定性：阈值迁移后是否仍满足目标拒绝率。</w:t>
      </w:r>
    </w:p>
    <w:p>
      <w:pPr>
        <w:pStyle w:val="BodyText"/>
      </w:pPr>
      <w:r>
        <w:t>2. 误差结构：是否在提升召回的同时控制放行坏账率。</w:t>
      </w:r>
    </w:p>
    <w:p>
      <w:pPr>
        <w:pStyle w:val="BodyText"/>
      </w:pPr>
      <w:r>
        <w:t>3. 训练信号质量：教师标签与理由文本是否足够多样、真实。</w:t>
      </w:r>
    </w:p>
    <w:p>
      <w:pPr>
        <w:pStyle w:val="Heading2"/>
      </w:pPr>
      <w:r>
        <w:t>文献综合：阶段演进与局限传递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</w:tcPr>
          <w:p>
            <w:r>
              <w:t>阶段</w:t>
            </w:r>
          </w:p>
        </w:tc>
        <w:tc>
          <w:tcPr>
            <w:tcW w:type="dxa" w:w="2091"/>
          </w:tcPr>
          <w:p>
            <w:r>
              <w:t>代表文献</w:t>
            </w:r>
          </w:p>
        </w:tc>
        <w:tc>
          <w:tcPr>
            <w:tcW w:type="dxa" w:w="2091"/>
          </w:tcPr>
          <w:p>
            <w:r>
              <w:t>主要贡献</w:t>
            </w:r>
          </w:p>
        </w:tc>
        <w:tc>
          <w:tcPr>
            <w:tcW w:type="dxa" w:w="2091"/>
          </w:tcPr>
          <w:p>
            <w:r>
              <w:t>典型局限</w:t>
            </w:r>
          </w:p>
        </w:tc>
        <w:tc>
          <w:tcPr>
            <w:tcW w:type="dxa" w:w="2091"/>
          </w:tcPr>
          <w:p>
            <w:r>
              <w:t>后续阶段如何改进</w:t>
            </w:r>
          </w:p>
        </w:tc>
      </w:tr>
      <w:tr>
        <w:tc>
          <w:tcPr>
            <w:tcW w:type="dxa" w:w="2091"/>
          </w:tcPr>
          <w:p>
            <w:r>
              <w:t>经典评分</w:t>
            </w:r>
          </w:p>
        </w:tc>
        <w:tc>
          <w:tcPr>
            <w:tcW w:type="dxa" w:w="2091"/>
          </w:tcPr>
          <w:p>
            <w:r>
              <w:t>[1], [2], [3], [4]</w:t>
            </w:r>
          </w:p>
        </w:tc>
        <w:tc>
          <w:tcPr>
            <w:tcW w:type="dxa" w:w="2091"/>
          </w:tcPr>
          <w:p>
            <w:r>
              <w:t>建立信用评分评估范式与基线</w:t>
            </w:r>
          </w:p>
        </w:tc>
        <w:tc>
          <w:tcPr>
            <w:tcW w:type="dxa" w:w="2091"/>
          </w:tcPr>
          <w:p>
            <w:r>
              <w:t>对软信息覆盖不足</w:t>
            </w:r>
          </w:p>
        </w:tc>
        <w:tc>
          <w:tcPr>
            <w:tcW w:type="dxa" w:w="2091"/>
          </w:tcPr>
          <w:p>
            <w:r>
              <w:t>引入平台行为与软信息</w:t>
            </w:r>
          </w:p>
        </w:tc>
      </w:tr>
      <w:tr>
        <w:tc>
          <w:tcPr>
            <w:tcW w:type="dxa" w:w="2091"/>
          </w:tcPr>
          <w:p>
            <w:r>
              <w:t>P2P 实证</w:t>
            </w:r>
          </w:p>
        </w:tc>
        <w:tc>
          <w:tcPr>
            <w:tcW w:type="dxa" w:w="2091"/>
          </w:tcPr>
          <w:p>
            <w:r>
              <w:t>[6], [7], [8], [9], [10]</w:t>
            </w:r>
          </w:p>
        </w:tc>
        <w:tc>
          <w:tcPr>
            <w:tcW w:type="dxa" w:w="2091"/>
          </w:tcPr>
          <w:p>
            <w:r>
              <w:t>证明信息不对称与软筛选存在</w:t>
            </w:r>
          </w:p>
        </w:tc>
        <w:tc>
          <w:tcPr>
            <w:tcW w:type="dxa" w:w="2091"/>
          </w:tcPr>
          <w:p>
            <w:r>
              <w:t>文本利用深度不足</w:t>
            </w:r>
          </w:p>
        </w:tc>
        <w:tc>
          <w:tcPr>
            <w:tcW w:type="dxa" w:w="2091"/>
          </w:tcPr>
          <w:p>
            <w:r>
              <w:t>文本语义建模与融合</w:t>
            </w:r>
          </w:p>
        </w:tc>
      </w:tr>
      <w:tr>
        <w:tc>
          <w:tcPr>
            <w:tcW w:type="dxa" w:w="2091"/>
          </w:tcPr>
          <w:p>
            <w:r>
              <w:t>文本特征工程</w:t>
            </w:r>
          </w:p>
        </w:tc>
        <w:tc>
          <w:tcPr>
            <w:tcW w:type="dxa" w:w="2091"/>
          </w:tcPr>
          <w:p>
            <w:r>
              <w:t>[11], [12], [13], [14]</w:t>
            </w:r>
          </w:p>
        </w:tc>
        <w:tc>
          <w:tcPr>
            <w:tcW w:type="dxa" w:w="2091"/>
          </w:tcPr>
          <w:p>
            <w:r>
              <w:t>量化文本增量价值</w:t>
            </w:r>
          </w:p>
        </w:tc>
        <w:tc>
          <w:tcPr>
            <w:tcW w:type="dxa" w:w="2091"/>
          </w:tcPr>
          <w:p>
            <w:r>
              <w:t>语义表达能力受限</w:t>
            </w:r>
          </w:p>
        </w:tc>
        <w:tc>
          <w:tcPr>
            <w:tcW w:type="dxa" w:w="2091"/>
          </w:tcPr>
          <w:p>
            <w:r>
              <w:t>深度文本与上下文建模</w:t>
            </w:r>
          </w:p>
        </w:tc>
      </w:tr>
      <w:tr>
        <w:tc>
          <w:tcPr>
            <w:tcW w:type="dxa" w:w="2091"/>
          </w:tcPr>
          <w:p>
            <w:r>
              <w:t>深度文本</w:t>
            </w:r>
          </w:p>
        </w:tc>
        <w:tc>
          <w:tcPr>
            <w:tcW w:type="dxa" w:w="2091"/>
          </w:tcPr>
          <w:p>
            <w:r>
              <w:t>[15], [16]</w:t>
            </w:r>
          </w:p>
        </w:tc>
        <w:tc>
          <w:tcPr>
            <w:tcW w:type="dxa" w:w="2091"/>
          </w:tcPr>
          <w:p>
            <w:r>
              <w:t>提升上下文建模与泛化能力</w:t>
            </w:r>
          </w:p>
        </w:tc>
        <w:tc>
          <w:tcPr>
            <w:tcW w:type="dxa" w:w="2091"/>
          </w:tcPr>
          <w:p>
            <w:r>
              <w:t>解释与阈值控制仍困难</w:t>
            </w:r>
          </w:p>
        </w:tc>
        <w:tc>
          <w:tcPr>
            <w:tcW w:type="dxa" w:w="2091"/>
          </w:tcPr>
          <w:p>
            <w:r>
              <w:t>LLM + 参数高效微调</w:t>
            </w:r>
          </w:p>
        </w:tc>
      </w:tr>
      <w:tr>
        <w:tc>
          <w:tcPr>
            <w:tcW w:type="dxa" w:w="2091"/>
          </w:tcPr>
          <w:p>
            <w:r>
              <w:t>LLM 应用</w:t>
            </w:r>
          </w:p>
        </w:tc>
        <w:tc>
          <w:tcPr>
            <w:tcW w:type="dxa" w:w="2091"/>
          </w:tcPr>
          <w:p>
            <w:r>
              <w:t>[17], [18], [19], [20], [21]</w:t>
            </w:r>
          </w:p>
        </w:tc>
        <w:tc>
          <w:tcPr>
            <w:tcW w:type="dxa" w:w="2091"/>
          </w:tcPr>
          <w:p>
            <w:r>
              <w:t>强语义理解与解释生成</w:t>
            </w:r>
          </w:p>
        </w:tc>
        <w:tc>
          <w:tcPr>
            <w:tcW w:type="dxa" w:w="2091"/>
          </w:tcPr>
          <w:p>
            <w:r>
              <w:t>业务稳定性与校准难题</w:t>
            </w:r>
          </w:p>
        </w:tc>
        <w:tc>
          <w:tcPr>
            <w:tcW w:type="dxa" w:w="2091"/>
          </w:tcPr>
          <w:p>
            <w:r>
              <w:t>强化校准、蒸馏与人机协同</w:t>
            </w:r>
          </w:p>
        </w:tc>
      </w:tr>
    </w:tbl>
    <w:p>
      <w:pPr>
        <w:pStyle w:val="Heading2"/>
      </w:pPr>
      <w:r>
        <w:t>方法比较：为何同为“文本模型”结论仍不一致</w:t>
      </w:r>
    </w:p>
    <w:p>
      <w:pPr>
        <w:pStyle w:val="BodyText"/>
      </w:pPr>
      <w:r>
        <w:t>已有研究对文本软信息的收益结论并不完全一致，关键原因通常不是“谁的模型更先进”，而是任务定义与实验协议不同。为了避免“跨口径比较”误导，本文将文献中的关键差异归纳为四类：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比较维度</w:t>
            </w:r>
          </w:p>
        </w:tc>
        <w:tc>
          <w:tcPr>
            <w:tcW w:type="dxa" w:w="3485"/>
          </w:tcPr>
          <w:p>
            <w:r>
              <w:t>常见做法差异</w:t>
            </w:r>
          </w:p>
        </w:tc>
        <w:tc>
          <w:tcPr>
            <w:tcW w:type="dxa" w:w="3485"/>
          </w:tcPr>
          <w:p>
            <w:r>
              <w:t>对结论的影响</w:t>
            </w:r>
          </w:p>
        </w:tc>
      </w:tr>
      <w:tr>
        <w:tc>
          <w:tcPr>
            <w:tcW w:type="dxa" w:w="3485"/>
          </w:tcPr>
          <w:p>
            <w:r>
              <w:t>标签策略</w:t>
            </w:r>
          </w:p>
        </w:tc>
        <w:tc>
          <w:tcPr>
            <w:tcW w:type="dxa" w:w="3485"/>
          </w:tcPr>
          <w:p>
            <w:r>
              <w:t>是否只保留 Fully Paid / Charged Off，是否混入进行中贷款</w:t>
            </w:r>
          </w:p>
        </w:tc>
        <w:tc>
          <w:tcPr>
            <w:tcW w:type="dxa" w:w="3485"/>
          </w:tcPr>
          <w:p>
            <w:r>
              <w:t>混入未终局样本会引入标签噪声，夸大或掩盖文本贡献</w:t>
            </w:r>
          </w:p>
        </w:tc>
      </w:tr>
      <w:tr>
        <w:tc>
          <w:tcPr>
            <w:tcW w:type="dxa" w:w="3485"/>
          </w:tcPr>
          <w:p>
            <w:r>
              <w:t>评估口径</w:t>
            </w:r>
          </w:p>
        </w:tc>
        <w:tc>
          <w:tcPr>
            <w:tcW w:type="dxa" w:w="3485"/>
          </w:tcPr>
          <w:p>
            <w:r>
              <w:t>AUC/PR-AUC vs 固定拒绝率业务指标</w:t>
            </w:r>
          </w:p>
        </w:tc>
        <w:tc>
          <w:tcPr>
            <w:tcW w:type="dxa" w:w="3485"/>
          </w:tcPr>
          <w:p>
            <w:r>
              <w:t>仅看排序指标可能高估上线可用性</w:t>
            </w:r>
          </w:p>
        </w:tc>
      </w:tr>
      <w:tr>
        <w:tc>
          <w:tcPr>
            <w:tcW w:type="dxa" w:w="3485"/>
          </w:tcPr>
          <w:p>
            <w:r>
              <w:t>文本粒度</w:t>
            </w:r>
          </w:p>
        </w:tc>
        <w:tc>
          <w:tcPr>
            <w:tcW w:type="dxa" w:w="3485"/>
          </w:tcPr>
          <w:p>
            <w:r>
              <w:t>标题短文本、描述长文本、二者融合</w:t>
            </w:r>
          </w:p>
        </w:tc>
        <w:tc>
          <w:tcPr>
            <w:tcW w:type="dxa" w:w="3485"/>
          </w:tcPr>
          <w:p>
            <w:r>
              <w:t>长文本更富信息，但训练难度与噪声控制要求更高</w:t>
            </w:r>
          </w:p>
        </w:tc>
      </w:tr>
      <w:tr>
        <w:tc>
          <w:tcPr>
            <w:tcW w:type="dxa" w:w="3485"/>
          </w:tcPr>
          <w:p>
            <w:r>
              <w:t>特征融合</w:t>
            </w:r>
          </w:p>
        </w:tc>
        <w:tc>
          <w:tcPr>
            <w:tcW w:type="dxa" w:w="3485"/>
          </w:tcPr>
          <w:p>
            <w:r>
              <w:t>早期拼接 vs 联合训练 vs 两阶段决策</w:t>
            </w:r>
          </w:p>
        </w:tc>
        <w:tc>
          <w:tcPr>
            <w:tcW w:type="dxa" w:w="3485"/>
          </w:tcPr>
          <w:p>
            <w:r>
              <w:t>融合方式决定结构化强信号是否被文本有效补充</w:t>
            </w:r>
          </w:p>
        </w:tc>
      </w:tr>
    </w:tbl>
    <w:p>
      <w:pPr>
        <w:pStyle w:val="BodyText"/>
      </w:pPr>
      <w:r>
        <w:t>例如，Dorfleitner 等与 Jiang 等强调“文本有增量价值” [10], [11]，Kriebel 与 Stitz 显示深度模型可提升文本利用效率 [16]。但此类结论多基于离线分类指标；当评估切换到固定拒绝率、阈值稳定性与放行坏账率时，模型排序可能变化。本文围绕这种“指标迁移导致结论迁移”的现象做统一实证。</w:t>
      </w:r>
    </w:p>
    <w:p>
      <w:pPr>
        <w:pStyle w:val="Heading2"/>
      </w:pPr>
      <w:r>
        <w:t>本文定位</w:t>
      </w:r>
    </w:p>
    <w:p>
      <w:pPr>
        <w:pStyle w:val="BodyText"/>
      </w:pPr>
      <w:r>
        <w:t>基于上述脉络，本文不试图证明“LLM 必然优于传统模型”，而是回答更实际的问题：在统一业务口径（固定拒绝率）下，哪类模型更适合作为主判，哪类模型更适合作为解释层。</w:t>
      </w:r>
    </w:p>
    <w:p>
      <w:pPr>
        <w:pStyle w:val="Heading2"/>
      </w:pPr>
      <w:r>
        <w:t>文献缺口与实验设计映射</w:t>
      </w:r>
    </w:p>
    <w:p>
      <w:pPr>
        <w:pStyle w:val="BodyText"/>
      </w:pPr>
      <w:r>
        <w:t>为避免“文献综述”和“实验设计”脱节，本文将关键文献缺口直接映射为可执行实验：</w:t>
      </w:r>
    </w:p>
    <w:p>
      <w:pPr>
        <w:pStyle w:val="BodyText"/>
      </w:pPr>
      <w:r>
        <w:t>1. 针对“缺少固定拒绝率约束”问题，本文采用口径 A 公平主榜比较（VI.A, VII.A, VII.B）。</w:t>
      </w:r>
    </w:p>
    <w:p>
      <w:pPr>
        <w:pStyle w:val="BodyText"/>
      </w:pPr>
      <w:r>
        <w:t>2. 针对“局部样本外推不充分”问题，本文补充全量口径 B（IV.E, VII.C）。</w:t>
      </w:r>
    </w:p>
    <w:p>
      <w:pPr>
        <w:pStyle w:val="BodyText"/>
      </w:pPr>
      <w:r>
        <w:t>3. 针对“文本模型高召回但代价不清”问题，本文报告每千笔代价与拒绝率偏移（VII.B, VII.G）。</w:t>
      </w:r>
    </w:p>
    <w:p>
      <w:pPr>
        <w:pStyle w:val="BodyText"/>
      </w:pPr>
      <w:r>
        <w:t>4. 针对“单次结果不稳”问题，本文加入拒绝率扫描与 Bootstrap CI（VII.D, VII.F）。</w:t>
      </w:r>
    </w:p>
    <w:p>
      <w:pPr>
        <w:pStyle w:val="BodyText"/>
      </w:pPr>
      <w:r>
        <w:t>该映射关系确保每项结论都能回溯到明确文献动机与对应实验协议。</w:t>
      </w:r>
    </w:p>
    <w:p>
      <w:pPr>
        <w:pStyle w:val="Heading1"/>
      </w:pPr>
      <w:r>
        <w:t>数据集、任务与特征工程 (Dataset, Task, and Feature Engineering)</w:t>
      </w:r>
    </w:p>
    <w:p>
      <w:pPr>
        <w:pStyle w:val="Heading2"/>
      </w:pPr>
      <w:r>
        <w:t>数据来源与样本构建</w:t>
      </w:r>
    </w:p>
    <w:p>
      <w:pPr>
        <w:pStyle w:val="BodyText"/>
      </w:pPr>
      <w:r>
        <w:t>原始数据来自 LendingClub 历史公开数据 [23]，项目中通过 workflow_common.py 与各流水线脚本完成统一清洗与共享切分。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阶段</w:t>
            </w:r>
          </w:p>
        </w:tc>
        <w:tc>
          <w:tcPr>
            <w:tcW w:type="dxa" w:w="3485"/>
          </w:tcPr>
          <w:p>
            <w:r>
              <w:t>样本量</w:t>
            </w:r>
          </w:p>
        </w:tc>
        <w:tc>
          <w:tcPr>
            <w:tcW w:type="dxa" w:w="3485"/>
          </w:tcPr>
          <w:p>
            <w:r>
              <w:t>说明</w:t>
            </w:r>
          </w:p>
        </w:tc>
      </w:tr>
      <w:tr>
        <w:tc>
          <w:tcPr>
            <w:tcW w:type="dxa" w:w="3485"/>
          </w:tcPr>
          <w:p>
            <w:r>
              <w:t>原始读取</w:t>
            </w:r>
          </w:p>
        </w:tc>
        <w:tc>
          <w:tcPr>
            <w:tcW w:type="dxa" w:w="3485"/>
          </w:tcPr>
          <w:p>
            <w:r>
              <w:t>2,260,701</w:t>
            </w:r>
          </w:p>
        </w:tc>
        <w:tc>
          <w:tcPr>
            <w:tcW w:type="dxa" w:w="3485"/>
          </w:tcPr>
          <w:p>
            <w:r>
              <w:t>`accepted_2007_to_2018Q4.csv`</w:t>
            </w:r>
          </w:p>
        </w:tc>
      </w:tr>
      <w:tr>
        <w:tc>
          <w:tcPr>
            <w:tcW w:type="dxa" w:w="3485"/>
          </w:tcPr>
          <w:p>
            <w:r>
              <w:t>初筛后</w:t>
            </w:r>
          </w:p>
        </w:tc>
        <w:tc>
          <w:tcPr>
            <w:tcW w:type="dxa" w:w="3485"/>
          </w:tcPr>
          <w:p>
            <w:r>
              <w:t>123,293</w:t>
            </w:r>
          </w:p>
        </w:tc>
        <w:tc>
          <w:tcPr>
            <w:tcW w:type="dxa" w:w="3485"/>
          </w:tcPr>
          <w:p>
            <w:r>
              <w:t>满足基础状态与字段条件</w:t>
            </w:r>
          </w:p>
        </w:tc>
      </w:tr>
      <w:tr>
        <w:tc>
          <w:tcPr>
            <w:tcW w:type="dxa" w:w="3485"/>
          </w:tcPr>
          <w:p>
            <w:r>
              <w:t>清洗后</w:t>
            </w:r>
          </w:p>
        </w:tc>
        <w:tc>
          <w:tcPr>
            <w:tcW w:type="dxa" w:w="3485"/>
          </w:tcPr>
          <w:p>
            <w:r>
              <w:t>123,202</w:t>
            </w:r>
          </w:p>
        </w:tc>
        <w:tc>
          <w:tcPr>
            <w:tcW w:type="dxa" w:w="3485"/>
          </w:tcPr>
          <w:p>
            <w:r>
              <w:t>去重/缺失清洗后可用样本</w:t>
            </w:r>
          </w:p>
        </w:tc>
      </w:tr>
      <w:tr>
        <w:tc>
          <w:tcPr>
            <w:tcW w:type="dxa" w:w="3485"/>
          </w:tcPr>
          <w:p>
            <w:r>
              <w:t>共享高风险子集</w:t>
            </w:r>
          </w:p>
        </w:tc>
        <w:tc>
          <w:tcPr>
            <w:tcW w:type="dxa" w:w="3485"/>
          </w:tcPr>
          <w:p>
            <w:r>
              <w:t>7,108</w:t>
            </w:r>
          </w:p>
        </w:tc>
        <w:tc>
          <w:tcPr>
            <w:tcW w:type="dxa" w:w="3485"/>
          </w:tcPr>
          <w:p>
            <w:r>
              <w:t>`grade in {E,F,G}`, `int_rate&gt;=18.5`, `annual_inc&lt;=92,500`</w:t>
            </w:r>
          </w:p>
        </w:tc>
      </w:tr>
    </w:tbl>
    <w:p>
      <w:pPr>
        <w:pStyle w:val="Heading2"/>
      </w:pPr>
      <w:r>
        <w:t>标签定义与任务</w:t>
      </w:r>
    </w:p>
    <w:p>
      <w:pPr>
        <w:pStyle w:val="BodyText"/>
      </w:pPr>
      <w:r>
        <w:t>标签定义与课程项目一致：</w:t>
      </w:r>
    </w:p>
    <w:p>
      <w:pPr>
        <w:pStyle w:val="bulletlist"/>
      </w:pPr>
      <w:r>
        <w:t>target=1: Charged Off（违约）</w:t>
      </w:r>
    </w:p>
    <w:p>
      <w:pPr>
        <w:pStyle w:val="bulletlist"/>
      </w:pPr>
      <w:r>
        <w:t>target=0: Fully Paid（履约）</w:t>
      </w:r>
    </w:p>
    <w:p>
      <w:pPr>
        <w:pStyle w:val="BodyText"/>
      </w:pPr>
      <w:r>
        <w:t>任务是二分类违约识别，但评估目标是“固定拒绝率运营口径下的风险识别质量”。这与传统仅看 AUC 的离线比较不同。</w:t>
      </w:r>
    </w:p>
    <w:p>
      <w:pPr>
        <w:pStyle w:val="Heading2"/>
      </w:pPr>
      <w:r>
        <w:t>子集分布与难度特征</w:t>
      </w:r>
    </w:p>
    <w:p>
      <w:pPr>
        <w:pStyle w:val="BodyText"/>
      </w:pPr>
      <w:r>
        <w:t>共享子集违约率约 35.00%，且按规则限定在较高风险区间。该设定的影响是：</w:t>
      </w:r>
    </w:p>
    <w:p>
      <w:pPr>
        <w:pStyle w:val="BodyText"/>
      </w:pPr>
      <w:r>
        <w:t>1. 结构化风险信号（利率、等级、DTI 等）更集中。</w:t>
      </w:r>
    </w:p>
    <w:p>
      <w:pPr>
        <w:pStyle w:val="BodyText"/>
      </w:pPr>
      <w:r>
        <w:t>2. 文本信息仍有价值，但边际增益被强结构化信号压缩。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t>维度</w:t>
            </w:r>
          </w:p>
        </w:tc>
        <w:tc>
          <w:tcPr>
            <w:tcW w:type="dxa" w:w="5227"/>
          </w:tcPr>
          <w:p>
            <w:r>
              <w:t>统计</w:t>
            </w:r>
          </w:p>
        </w:tc>
      </w:tr>
      <w:tr>
        <w:tc>
          <w:tcPr>
            <w:tcW w:type="dxa" w:w="5227"/>
          </w:tcPr>
          <w:p>
            <w:r>
              <w:t>样本总数</w:t>
            </w:r>
          </w:p>
        </w:tc>
        <w:tc>
          <w:tcPr>
            <w:tcW w:type="dxa" w:w="5227"/>
          </w:tcPr>
          <w:p>
            <w:r>
              <w:t>7,108</w:t>
            </w:r>
          </w:p>
        </w:tc>
      </w:tr>
      <w:tr>
        <w:tc>
          <w:tcPr>
            <w:tcW w:type="dxa" w:w="5227"/>
          </w:tcPr>
          <w:p>
            <w:r>
              <w:t>违约率</w:t>
            </w:r>
          </w:p>
        </w:tc>
        <w:tc>
          <w:tcPr>
            <w:tcW w:type="dxa" w:w="5227"/>
          </w:tcPr>
          <w:p>
            <w:r>
              <w:t>35.00%</w:t>
            </w:r>
          </w:p>
        </w:tc>
      </w:tr>
      <w:tr>
        <w:tc>
          <w:tcPr>
            <w:tcW w:type="dxa" w:w="5227"/>
          </w:tcPr>
          <w:p>
            <w:r>
              <w:t>年份范围</w:t>
            </w:r>
          </w:p>
        </w:tc>
        <w:tc>
          <w:tcPr>
            <w:tcW w:type="dxa" w:w="5227"/>
          </w:tcPr>
          <w:p>
            <w:r>
              <w:t>2008-2016</w:t>
            </w:r>
          </w:p>
        </w:tc>
      </w:tr>
      <w:tr>
        <w:tc>
          <w:tcPr>
            <w:tcW w:type="dxa" w:w="5227"/>
          </w:tcPr>
          <w:p>
            <w:r>
              <w:t>Grade 分布</w:t>
            </w:r>
          </w:p>
        </w:tc>
        <w:tc>
          <w:tcPr>
            <w:tcW w:type="dxa" w:w="5227"/>
          </w:tcPr>
          <w:p>
            <w:r>
              <w:t>E: 4,414 / F: 2,195 / G: 499</w:t>
            </w:r>
          </w:p>
        </w:tc>
      </w:tr>
      <w:tr>
        <w:tc>
          <w:tcPr>
            <w:tcW w:type="dxa" w:w="5227"/>
          </w:tcPr>
          <w:p>
            <w:r>
              <w:t>Grade 违约率</w:t>
            </w:r>
          </w:p>
        </w:tc>
        <w:tc>
          <w:tcPr>
            <w:tcW w:type="dxa" w:w="5227"/>
          </w:tcPr>
          <w:p>
            <w:r>
              <w:t>E: 32.85% / F: 37.63% / G: 42.48%</w:t>
            </w:r>
          </w:p>
        </w:tc>
      </w:tr>
    </w:tbl>
    <w:p>
      <w:pPr>
        <w:pStyle w:val="Heading2"/>
      </w:pPr>
      <w:r>
        <w:t>共享切分与防泄露控制（口径 A）</w:t>
      </w:r>
    </w:p>
    <w:p>
      <w:pPr>
        <w:pStyle w:val="BodyText"/>
      </w:pPr>
      <w:r>
        <w:t>统一采用分层随机切分（共享文件位于 data/shared/splits/stratified）：</w:t>
      </w:r>
    </w:p>
    <w:p>
      <w:pPr>
        <w:pStyle w:val="bulletlist"/>
      </w:pPr>
      <w:r>
        <w:t>train_fit=4548</w:t>
      </w:r>
    </w:p>
    <w:p>
      <w:pPr>
        <w:pStyle w:val="bulletlist"/>
      </w:pPr>
      <w:r>
        <w:t>validation=1138</w:t>
      </w:r>
    </w:p>
    <w:p>
      <w:pPr>
        <w:pStyle w:val="bulletlist"/>
      </w:pPr>
      <w:r>
        <w:t>test=1422</w:t>
      </w:r>
    </w:p>
    <w:p>
      <w:pPr>
        <w:pStyle w:val="BodyText"/>
      </w:pPr>
      <w:r>
        <w:t>此外通过 _shared_row_id 对齐不同流水线样本，确保各模型使用完全一致的测试集，不发生“模型对比时样本不一致”的隐性偏差。</w:t>
      </w:r>
    </w:p>
    <w:p>
      <w:pPr>
        <w:pStyle w:val="Heading2"/>
      </w:pPr>
      <w:r>
        <w:t>全量切分与业务分布口径（口径 B）</w:t>
      </w:r>
    </w:p>
    <w:p>
      <w:pPr>
        <w:pStyle w:val="BodyText"/>
      </w:pPr>
      <w:r>
        <w:t>为评估模型在更接近真实业务分布下的表现，本文补充全量口径实验：</w:t>
      </w:r>
    </w:p>
    <w:p>
      <w:pPr>
        <w:pStyle w:val="bulletlist"/>
      </w:pPr>
      <w:r>
        <w:t>输入：ml_standalone/data/processed/ml_full_processed.csv（n=123,202）</w:t>
      </w:r>
    </w:p>
    <w:p>
      <w:pPr>
        <w:pStyle w:val="bulletlist"/>
      </w:pPr>
      <w:r>
        <w:t>共享切分目录：data/shared/splits/full_actual_rr</w:t>
      </w:r>
    </w:p>
    <w:p>
      <w:pPr>
        <w:pStyle w:val="bulletlist"/>
      </w:pPr>
      <w:r>
        <w:t>切分规模：train_fit=78848, validation=19713, test=24641</w:t>
      </w:r>
    </w:p>
    <w:p>
      <w:pPr>
        <w:pStyle w:val="bulletlist"/>
      </w:pPr>
      <w:r>
        <w:t>目标拒绝率：RR_target=0.15327673252057597（全量真实违约率）</w:t>
      </w:r>
    </w:p>
    <w:p>
      <w:pPr>
        <w:pStyle w:val="BodyText"/>
      </w:pPr>
      <w:r>
        <w:t>该口径目前覆盖 ML + DataAnalysis，用于回答“当样本分布回到全量业务形态时，主模型排序是否变化”。</w:t>
      </w:r>
    </w:p>
    <w:p>
      <w:pPr>
        <w:pStyle w:val="Heading2"/>
      </w:pPr>
      <w:r>
        <w:t>特征体系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t>特征组</w:t>
            </w:r>
          </w:p>
        </w:tc>
        <w:tc>
          <w:tcPr>
            <w:tcW w:type="dxa" w:w="3485"/>
          </w:tcPr>
          <w:p>
            <w:r>
              <w:t>代表字段</w:t>
            </w:r>
          </w:p>
        </w:tc>
        <w:tc>
          <w:tcPr>
            <w:tcW w:type="dxa" w:w="3485"/>
          </w:tcPr>
          <w:p>
            <w:r>
              <w:t>在本项目中的作用</w:t>
            </w:r>
          </w:p>
        </w:tc>
      </w:tr>
      <w:tr>
        <w:tc>
          <w:tcPr>
            <w:tcW w:type="dxa" w:w="3485"/>
          </w:tcPr>
          <w:p>
            <w:r>
              <w:t>数值特征</w:t>
            </w:r>
          </w:p>
        </w:tc>
        <w:tc>
          <w:tcPr>
            <w:tcW w:type="dxa" w:w="3485"/>
          </w:tcPr>
          <w:p>
            <w:r>
              <w:t>`loan_amnt`, `int_rate`, `annual_inc`, `dti`, `fico_mean`</w:t>
            </w:r>
          </w:p>
        </w:tc>
        <w:tc>
          <w:tcPr>
            <w:tcW w:type="dxa" w:w="3485"/>
          </w:tcPr>
          <w:p>
            <w:r>
              <w:t>主风险强信号</w:t>
            </w:r>
          </w:p>
        </w:tc>
      </w:tr>
      <w:tr>
        <w:tc>
          <w:tcPr>
            <w:tcW w:type="dxa" w:w="3485"/>
          </w:tcPr>
          <w:p>
            <w:r>
              <w:t>类别特征</w:t>
            </w:r>
          </w:p>
        </w:tc>
        <w:tc>
          <w:tcPr>
            <w:tcW w:type="dxa" w:w="3485"/>
          </w:tcPr>
          <w:p>
            <w:r>
              <w:t>`grade`, `home_ownership`, `purpose`, `verification_status`</w:t>
            </w:r>
          </w:p>
        </w:tc>
        <w:tc>
          <w:tcPr>
            <w:tcW w:type="dxa" w:w="3485"/>
          </w:tcPr>
          <w:p>
            <w:r>
              <w:t>结构化分群</w:t>
            </w:r>
          </w:p>
        </w:tc>
      </w:tr>
      <w:tr>
        <w:tc>
          <w:tcPr>
            <w:tcW w:type="dxa" w:w="3485"/>
          </w:tcPr>
          <w:p>
            <w:r>
              <w:t>文本特征</w:t>
            </w:r>
          </w:p>
        </w:tc>
        <w:tc>
          <w:tcPr>
            <w:tcW w:type="dxa" w:w="3485"/>
          </w:tcPr>
          <w:p>
            <w:r>
              <w:t>`desc_clean` / `bert_input`</w:t>
            </w:r>
          </w:p>
        </w:tc>
        <w:tc>
          <w:tcPr>
            <w:tcW w:type="dxa" w:w="3485"/>
          </w:tcPr>
          <w:p>
            <w:r>
              <w:t>软信息与语义补充</w:t>
            </w:r>
          </w:p>
        </w:tc>
      </w:tr>
      <w:tr>
        <w:tc>
          <w:tcPr>
            <w:tcW w:type="dxa" w:w="3485"/>
          </w:tcPr>
          <w:p>
            <w:r>
              <w:t>流程特征</w:t>
            </w:r>
          </w:p>
        </w:tc>
        <w:tc>
          <w:tcPr>
            <w:tcW w:type="dxa" w:w="3485"/>
          </w:tcPr>
          <w:p>
            <w:r>
              <w:t>`_shared_row_id`, `issue_year`</w:t>
            </w:r>
          </w:p>
        </w:tc>
        <w:tc>
          <w:tcPr>
            <w:tcW w:type="dxa" w:w="3485"/>
          </w:tcPr>
          <w:p>
            <w:r>
              <w:t>对齐切分与误差诊断</w:t>
            </w:r>
          </w:p>
        </w:tc>
      </w:tr>
    </w:tbl>
    <w:p>
      <w:pPr>
        <w:pStyle w:val="Heading1"/>
      </w:pPr>
      <w:r>
        <w:t>方法 (Methods)</w:t>
      </w:r>
    </w:p>
    <w:p>
      <w:pPr>
        <w:pStyle w:val="Heading2"/>
      </w:pPr>
      <w:r>
        <w:t>统一方法框架</w:t>
      </w:r>
    </w:p>
    <w:p>
      <w:pPr>
        <w:pStyle w:val="BodyText"/>
      </w:pPr>
      <w:r>
        <w:t>本文比较四类方法族：</w:t>
      </w:r>
    </w:p>
    <w:p>
      <w:pPr>
        <w:pStyle w:val="BodyText"/>
      </w:pPr>
      <w:r>
        <w:t>1. DataAnalysis 风险画像分类器（规则化分数与阈值策略）。</w:t>
      </w:r>
    </w:p>
    <w:p>
      <w:pPr>
        <w:pStyle w:val="BodyText"/>
      </w:pPr>
      <w:r>
        <w:t>2. 传统 ML（逻辑回归、XGBoost）。</w:t>
      </w:r>
    </w:p>
    <w:p>
      <w:pPr>
        <w:pStyle w:val="BodyText"/>
      </w:pPr>
      <w:r>
        <w:t>3. BERT 路线（Embedding + 逻辑回归；端到端微调）。</w:t>
      </w:r>
    </w:p>
    <w:p>
      <w:pPr>
        <w:pStyle w:val="BodyText"/>
      </w:pPr>
      <w:r>
        <w:t>4. LLM 路线（两阶段微调、单阶段微调、外部 GPT-5.2 推理）。</w:t>
      </w:r>
    </w:p>
    <w:p>
      <w:pPr>
        <w:pStyle w:val="BodyText"/>
      </w:pPr>
      <w:r>
        <w:t>所有方法均遵循“验证集定阈值、测试集仅评估”的流程，不使用测试集调参。</w:t>
      </w:r>
    </w:p>
    <w:p>
      <w:pPr>
        <w:pStyle w:val="BodyText"/>
      </w:pPr>
      <w:r>
        <w:t>DataAnalysis 不是简单规则打分，而是基于统一特征选择生成风险画像分值，并在验证集上按固定拒绝率目标选阈值。它在本项目中承担“可解释、低复杂度、可落地”的业务参照基线。</w:t>
      </w:r>
    </w:p>
    <w:p>
      <w:pPr>
        <w:pStyle w:val="Heading2"/>
      </w:pPr>
      <w:r>
        <w:t>传统 ML 基线</w:t>
      </w:r>
    </w:p>
    <w:p>
      <w:pPr>
        <w:pStyle w:val="BodyText"/>
      </w:pPr>
      <w:r>
        <w:t>对应代码：ml_standalone/run_ml_pipeline.py。</w:t>
      </w:r>
    </w:p>
    <w:p>
      <w:pPr>
        <w:pStyle w:val="bulletlist"/>
      </w:pPr>
      <w:r>
        <w:t>预处理：</w:t>
      </w:r>
    </w:p>
    <w:p>
      <w:pPr>
        <w:pStyle w:val="bulletlist"/>
      </w:pPr>
      <w:r>
        <w:t>数值特征：median imputation + StandardScaler</w:t>
      </w:r>
    </w:p>
    <w:p>
      <w:pPr>
        <w:pStyle w:val="bulletlist"/>
      </w:pPr>
      <w:r>
        <w:t>类别特征：most_frequent imputation + OneHotEncoder</w:t>
      </w:r>
    </w:p>
    <w:p>
      <w:pPr>
        <w:pStyle w:val="bulletlist"/>
      </w:pPr>
      <w:r>
        <w:t>文本融合模型：TF-IDF(1-2gram, min_df=5, max_features=30000)</w:t>
      </w:r>
    </w:p>
    <w:p>
      <w:pPr>
        <w:pStyle w:val="bulletlist"/>
      </w:pPr>
      <w:r>
        <w:t>候选模型：</w:t>
      </w:r>
    </w:p>
    <w:p>
      <w:pPr>
        <w:pStyle w:val="bulletlist"/>
      </w:pPr>
      <w:r>
        <w:t>logistic_tabular（max_iter=1800, class_weight=balanced）</w:t>
      </w:r>
    </w:p>
    <w:p>
      <w:pPr>
        <w:pStyle w:val="bulletlist"/>
      </w:pPr>
      <w:r>
        <w:t>logistic_text_fusion（结构化 + TF-IDF）</w:t>
      </w:r>
    </w:p>
    <w:p>
      <w:pPr>
        <w:pStyle w:val="bulletlist"/>
      </w:pPr>
      <w:r>
        <w:t>xgboost_tabular（n_estimators=260, max_depth=6, learning_rate=0.05 等）</w:t>
      </w:r>
    </w:p>
    <w:p>
      <w:pPr>
        <w:pStyle w:val="BodyText"/>
      </w:pPr>
      <w:r>
        <w:t>ML 模型使用 cv_folds=3 的分层交叉验证报告平衡准确率；最终模型筛选仍以验证集固定拒绝率指标为准。</w:t>
      </w:r>
    </w:p>
    <w:p>
      <w:pPr>
        <w:pStyle w:val="BodyText"/>
      </w:pPr>
      <w:r>
        <w:t>传统 ML 结果显示一个重要现象：logistic_text_fusion（结构化+TF-IDF）并未显著超过 logistic_tabular。这意味着在当前高风险子集中，结构化强信号已解释了大部分可分性，文本特征的边际贡献受限于样本规模、文本质量和融合方式。</w:t>
      </w:r>
    </w:p>
    <w:p>
      <w:pPr>
        <w:pStyle w:val="Heading2"/>
      </w:pPr>
      <w:r>
        <w:t>BERT 路线</w:t>
      </w:r>
    </w:p>
    <w:p>
      <w:pPr>
        <w:pStyle w:val="BodyText"/>
      </w:pPr>
      <w:r>
        <w:t>对应代码：bert_standalone/run_bert_pipeline.py, bert_standalone/bert_workflow.py。</w:t>
      </w:r>
    </w:p>
    <w:p>
      <w:pPr>
        <w:pStyle w:val="BodyText"/>
      </w:pPr>
      <w:r>
        <w:t>1. **Embedding 路线**：bce-embedding-base_v1 编码 bert_input，再接逻辑回归分类器。</w:t>
      </w:r>
    </w:p>
    <w:p>
      <w:pPr>
        <w:pStyle w:val="BodyText"/>
      </w:pPr>
      <w:r>
        <w:t>2. **Finetune 路线**：同底座模型端到端微调（learning_rate=2e-5, train_batch_size=8, eval_batch_size=16, num_train_epochs=1.0, weight_decay=0.01）。</w:t>
      </w:r>
    </w:p>
    <w:p>
      <w:pPr>
        <w:pStyle w:val="BodyText"/>
      </w:pPr>
      <w:r>
        <w:t>3. 输入长度：请求 max_length=514，实际按 tokenizer 限制使用 512。</w:t>
      </w:r>
    </w:p>
    <w:p>
      <w:pPr>
        <w:pStyle w:val="Heading2"/>
      </w:pPr>
      <w:r>
        <w:t>LLM 路线（两阶段/单阶段/外部）</w:t>
      </w:r>
    </w:p>
    <w:p>
      <w:pPr>
        <w:pStyle w:val="BodyText"/>
      </w:pPr>
      <w:r>
        <w:t>对应代码：llm_standalone/run_llm_two_stage.py、llm_standalone/run_llm_one_stage.py，一键脚本：run_llm_two_stage_full_06b.ps1 与 run_llm_one_stage_full_06b.ps1。</w:t>
      </w:r>
    </w:p>
    <w:p>
      <w:pPr>
        <w:pStyle w:val="BodyText"/>
      </w:pPr>
      <w:r>
        <w:t>流程：</w:t>
      </w:r>
    </w:p>
    <w:p>
      <w:pPr>
        <w:pStyle w:val="bulletlist"/>
      </w:pPr>
      <w:r>
        <w:t>两阶段：Stage-1 Input -&gt; Reason，Stage-2 Input + Reason -&gt; Action。</w:t>
      </w:r>
    </w:p>
    <w:p>
      <w:pPr>
        <w:pStyle w:val="bulletlist"/>
      </w:pPr>
      <w:r>
        <w:t>单阶段：Input -&gt; Action 直接给出 reject/approve。</w:t>
      </w:r>
    </w:p>
    <w:p>
      <w:pPr>
        <w:pStyle w:val="bulletlist"/>
      </w:pPr>
      <w:r>
        <w:t>外部 GPT-5.2：基于 data/loan_decisions.csv 与共享测试集按 _shared_row_id 对齐评估。</w:t>
      </w:r>
    </w:p>
    <w:p>
      <w:pPr>
        <w:pStyle w:val="BodyText"/>
      </w:pPr>
      <w:r>
        <w:t>训练配置（LlamaFactory 配置文件）：</w:t>
      </w:r>
    </w:p>
    <w:p>
      <w:pPr>
        <w:pStyle w:val="bulletlist"/>
      </w:pPr>
      <w:r>
        <w:t>学生模型：Qwen3-0.6B</w:t>
      </w:r>
    </w:p>
    <w:p>
      <w:pPr>
        <w:pStyle w:val="bulletlist"/>
      </w:pPr>
      <w:r>
        <w:t>LoRA：rank=8</w:t>
      </w:r>
    </w:p>
    <w:p>
      <w:pPr>
        <w:pStyle w:val="bulletlist"/>
      </w:pPr>
      <w:r>
        <w:t>cutoff_len=2048, per_device_train_batch_size=1, gradient_accumulation_steps=8, learning_rate=1e-4, fp16=true</w:t>
      </w:r>
    </w:p>
    <w:p>
      <w:pPr>
        <w:pStyle w:val="bulletlist"/>
      </w:pPr>
      <w:r>
        <w:t>阶段 epoch：Reason=2.0，Action=4.0</w:t>
      </w:r>
    </w:p>
    <w:p>
      <w:pPr>
        <w:pStyle w:val="BodyText"/>
      </w:pPr>
      <w:r>
        <w:t>推理阶段使用 reject/approve 的 logprob 计算拒绝概率。两阶段支持验证集定阈重标定；单阶段与外部 GPT-5.2 在共享口径下存在拒绝率偏移，因此需单独标注公平性风险。</w:t>
      </w:r>
    </w:p>
    <w:p>
      <w:pPr>
        <w:pStyle w:val="Heading2"/>
      </w:pPr>
      <w:r>
        <w:t>指标定义与业务意义</w:t>
      </w:r>
    </w:p>
    <w:p>
      <w:pPr>
        <w:pStyle w:val="BodyText"/>
      </w:pPr>
      <w:r>
        <w:t>以“拒绝”为正类，本文在两套目标拒绝率下评估：共享子集 RR_target=0.35，全量口径 RR_target=0.15327673252057597。</w:t>
      </w:r>
    </w:p>
    <w:p>
      <w:pPr>
        <w:pStyle w:val="bulletlist"/>
      </w:pPr>
      <w:r>
        <w:t>Precision@RR = TP / (TP + FP)：被拒样本中真实违约占比。</w:t>
      </w:r>
    </w:p>
    <w:p>
      <w:pPr>
        <w:pStyle w:val="bulletlist"/>
      </w:pPr>
      <w:r>
        <w:t>Recall@RR = TP / (TP + FN)：违约捕获率。</w:t>
      </w:r>
    </w:p>
    <w:p>
      <w:pPr>
        <w:pStyle w:val="bulletlist"/>
      </w:pPr>
      <w:r>
        <w:t>Approval Bad Rate = FN / (TN + FN)：放行样本中的坏账率。</w:t>
      </w:r>
    </w:p>
    <w:p>
      <w:pPr>
        <w:pStyle w:val="bulletlist"/>
      </w:pPr>
      <w:r>
        <w:t>Lift@RR = Precision@RR / RR_target：相对随机拒绝的提升倍数（口径内比较）。</w:t>
      </w:r>
    </w:p>
    <w:p>
      <w:pPr>
        <w:pStyle w:val="BodyText"/>
      </w:pPr>
      <w:r>
        <w:t>这些指标能够直接映射“误拒”与“误放”的业务权衡，比单一 AUC 更贴近审批流程；但不同 RR_target 下的绝对值不应直接横向比较。</w:t>
      </w:r>
    </w:p>
    <w:p>
      <w:pPr>
        <w:pStyle w:val="Heading2"/>
      </w:pPr>
      <w:r>
        <w:t>统一阈值选择流程（防止口径漂移）</w:t>
      </w:r>
    </w:p>
    <w:p>
      <w:pPr>
        <w:pStyle w:val="BodyText"/>
      </w:pPr>
      <w:r>
        <w:t>为确保不同模型可公平比较，本文采用同一阈值流程：</w:t>
      </w:r>
    </w:p>
    <w:p>
      <w:pPr>
        <w:pStyle w:val="BodyText"/>
      </w:pPr>
      <w:r>
        <w:t>1. 在验证集上按目标拒绝率寻找分位点阈值（或等价概率阈值）。</w:t>
      </w:r>
    </w:p>
    <w:p>
      <w:pPr>
        <w:pStyle w:val="BodyText"/>
      </w:pPr>
      <w:r>
        <w:t>2. 记录该阈值下的 Precision@RR、Recall@RR、Approval Bad Rate。</w:t>
      </w:r>
    </w:p>
    <w:p>
      <w:pPr>
        <w:pStyle w:val="BodyText"/>
      </w:pPr>
      <w:r>
        <w:t>3. 固定阈值后一次性在测试集评估，不再回看测试结果调阈。</w:t>
      </w:r>
    </w:p>
    <w:p>
      <w:pPr>
        <w:pStyle w:val="BodyText"/>
      </w:pPr>
      <w:r>
        <w:t>4. 对 LLM 额外报告“默认阈值 vs 固定 RR 阈值”的敏感性，以分离“模型能力”与“阈值校准”影响。</w:t>
      </w:r>
    </w:p>
    <w:p>
      <w:pPr>
        <w:pStyle w:val="Heading1"/>
      </w:pPr>
      <w:r>
        <w:t>实验设计与统计协议 (Experiment Design and Statistical Protocol)</w:t>
      </w:r>
    </w:p>
    <w:p>
      <w:pPr>
        <w:pStyle w:val="Heading2"/>
      </w:pPr>
      <w:r>
        <w:t>公平比较控制</w:t>
      </w:r>
    </w:p>
    <w:p>
      <w:pPr>
        <w:pStyle w:val="bulletlist"/>
      </w:pPr>
      <w:r>
        <w:t>口径 A（公平横评）：data/shared/shared_subset.csv + data/shared/splits/stratified + RR=35%</w:t>
      </w:r>
    </w:p>
    <w:p>
      <w:pPr>
        <w:pStyle w:val="bulletlist"/>
      </w:pPr>
      <w:r>
        <w:t>口径 B（业务分布）：ml_full_processed.csv + data/shared/splits/full_actual_rr + RR=0.1533（精确值见 IV.E）</w:t>
      </w:r>
    </w:p>
    <w:p>
      <w:pPr>
        <w:pStyle w:val="bulletlist"/>
      </w:pPr>
      <w:r>
        <w:t>同一阈值流程：验证集定阈 -&gt; 测试集固定评估</w:t>
      </w:r>
    </w:p>
    <w:p>
      <w:pPr>
        <w:pStyle w:val="bulletlist"/>
      </w:pPr>
      <w:r>
        <w:t>对拒绝率显著偏离目标的模型单独标注（不并入公平主榜）</w:t>
      </w:r>
    </w:p>
    <w:p>
      <w:pPr>
        <w:pStyle w:val="Heading2"/>
      </w:pPr>
      <w:r>
        <w:t>实验阶段</w:t>
      </w:r>
    </w:p>
    <w:p>
      <w:pPr>
        <w:pStyle w:val="BodyText"/>
      </w:pPr>
      <w:r>
        <w:t>1. **主对比实验（口径 A）**：7 条对齐路线（DA/3个ML/BERT-Emb/BERT-FT/LLM-2stage）。</w:t>
      </w:r>
    </w:p>
    <w:p>
      <w:pPr>
        <w:pStyle w:val="BodyText"/>
      </w:pPr>
      <w:r>
        <w:t>2. **扩展实验（口径 A）**：LLM 单阶段与 GPT-5.2（报告但不纳入公平主榜）。</w:t>
      </w:r>
    </w:p>
    <w:p>
      <w:pPr>
        <w:pStyle w:val="BodyText"/>
      </w:pPr>
      <w:r>
        <w:t>3. **拒绝率扫描实验**：在 10%/20%/35%/50% 口径比较模型排序变化。</w:t>
      </w:r>
    </w:p>
    <w:p>
      <w:pPr>
        <w:pStyle w:val="BodyText"/>
      </w:pPr>
      <w:r>
        <w:t>4. **LLM 阈值敏感性**：对比默认阈值与固定 RR 重标定。</w:t>
      </w:r>
    </w:p>
    <w:p>
      <w:pPr>
        <w:pStyle w:val="BodyText"/>
      </w:pPr>
      <w:r>
        <w:t>5. **不确定性评估**：对关键模型做 bootstrap 95% CI（B=1000）。</w:t>
      </w:r>
    </w:p>
    <w:p>
      <w:pPr>
        <w:pStyle w:val="BodyText"/>
      </w:pPr>
      <w:r>
        <w:t>6. **全量口径实验（口径 B）**：ML + DataAnalysis 在实际违约率目标下比较。</w:t>
      </w:r>
    </w:p>
    <w:p>
      <w:pPr>
        <w:pStyle w:val="Heading2"/>
      </w:pPr>
      <w:r>
        <w:t>实证规范说明（与课程最佳实践对齐）</w:t>
      </w:r>
    </w:p>
    <w:p>
      <w:pPr>
        <w:pStyle w:val="BodyText"/>
      </w:pPr>
      <w:r>
        <w:t>核心规范为：无测试集调参；交叉验证仅用于训练参考；阈值统一由验证集业务目标确定；所有模型使用同一业务指标解释，避免口径漂移。</w:t>
      </w:r>
    </w:p>
    <w:p>
      <w:pPr>
        <w:pStyle w:val="Heading2"/>
      </w:pPr>
      <w:r>
        <w:t>统计与稳健性设计</w:t>
      </w:r>
    </w:p>
    <w:p>
      <w:pPr>
        <w:pStyle w:val="BodyText"/>
      </w:pPr>
      <w:r>
        <w:t>为避免“单次切分偶然性”导致结论不稳，本文补充两类稳健性检查：</w:t>
      </w:r>
    </w:p>
    <w:p>
      <w:pPr>
        <w:pStyle w:val="BodyText"/>
      </w:pPr>
      <w:r>
        <w:t>1. **拒绝率扫描**：在 10%/20%/35%/50% 下比较精度排序是否一致。</w:t>
      </w:r>
    </w:p>
    <w:p>
      <w:pPr>
        <w:pStyle w:val="BodyText"/>
      </w:pPr>
      <w:r>
        <w:t>2. **Bootstrap 置信区间**：在测试集上对关键模型进行 B=1000 次重采样，报告 95% CI。</w:t>
      </w:r>
    </w:p>
    <w:p>
      <w:pPr>
        <w:pStyle w:val="BodyText"/>
      </w:pPr>
      <w:r>
        <w:t>其中，拒绝率扫描检验的是“运营策略变化下模型排序的可迁移性”；Bootstrap 检验的是“在当前测试规模（n=1422）下结论是否具有统计稳定性”。</w:t>
      </w:r>
    </w:p>
    <w:p>
      <w:pPr>
        <w:pStyle w:val="Heading2"/>
      </w:pPr>
      <w:r>
        <w:t>模型入榜判定规则（执行口径）</w:t>
      </w:r>
    </w:p>
    <w:p>
      <w:pPr>
        <w:pStyle w:val="BodyText"/>
      </w:pPr>
      <w:r>
        <w:t>为保证主结论可复核，本文在报告阶段采用统一入榜规则：</w:t>
      </w:r>
    </w:p>
    <w:p>
      <w:pPr>
        <w:pStyle w:val="BodyText"/>
      </w:pPr>
      <w:r>
        <w:t>1. 先检验是否满足目标拒绝率约束（或在可接受偏差区间内）。</w:t>
      </w:r>
    </w:p>
    <w:p>
      <w:pPr>
        <w:pStyle w:val="BodyText"/>
      </w:pPr>
      <w:r>
        <w:t>2. 仅对满足约束的模型比较 Precision@RR、Lift@RR 与 Approval Bad Rate。</w:t>
      </w:r>
    </w:p>
    <w:p>
      <w:pPr>
        <w:pStyle w:val="BodyText"/>
      </w:pPr>
      <w:r>
        <w:t>3. 对拒绝率显著偏离目标的模型仅保留在扩展实验，不并入公平主榜。</w:t>
      </w:r>
    </w:p>
    <w:p>
      <w:pPr>
        <w:pStyle w:val="BodyText"/>
      </w:pPr>
      <w:r>
        <w:t>若主指标接近，则优先选择阈值更稳定、解释成本更低的方案。</w:t>
      </w:r>
    </w:p>
    <w:p>
      <w:pPr>
        <w:pStyle w:val="Heading1"/>
      </w:pPr>
      <w:r>
        <w:t>实验结果 (Experimental Results)</w:t>
      </w:r>
    </w:p>
    <w:p>
      <w:pPr>
        <w:pStyle w:val="Heading2"/>
      </w:pPr>
      <w:r>
        <w:t>主结果（口径 A：共享子集，RR 目标=35%，公平主榜）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Precision@RR</w:t>
            </w:r>
          </w:p>
        </w:tc>
        <w:tc>
          <w:tcPr>
            <w:tcW w:type="dxa" w:w="1742"/>
          </w:tcPr>
          <w:p>
            <w:r>
              <w:t>Recall@RR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Lift@RR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0.4175</w:t>
            </w:r>
          </w:p>
        </w:tc>
        <w:tc>
          <w:tcPr>
            <w:tcW w:type="dxa" w:w="1742"/>
          </w:tcPr>
          <w:p>
            <w:r>
              <w:t>0.4317</w:t>
            </w:r>
          </w:p>
        </w:tc>
        <w:tc>
          <w:tcPr>
            <w:tcW w:type="dxa" w:w="1742"/>
          </w:tcPr>
          <w:p>
            <w:r>
              <w:t>0.3120</w:t>
            </w:r>
          </w:p>
        </w:tc>
        <w:tc>
          <w:tcPr>
            <w:tcW w:type="dxa" w:w="1742"/>
          </w:tcPr>
          <w:p>
            <w:r>
              <w:t>1.1928</w:t>
            </w:r>
          </w:p>
        </w:tc>
        <w:tc>
          <w:tcPr>
            <w:tcW w:type="dxa" w:w="1742"/>
          </w:tcPr>
          <w:p>
            <w:r>
              <w:t>0.3622</w:t>
            </w:r>
          </w:p>
        </w:tc>
      </w:tr>
      <w:tr>
        <w:tc>
          <w:tcPr>
            <w:tcW w:type="dxa" w:w="1742"/>
          </w:tcPr>
          <w:p>
            <w:r>
              <w:t>ML: logistic_tabular</w:t>
            </w:r>
          </w:p>
        </w:tc>
        <w:tc>
          <w:tcPr>
            <w:tcW w:type="dxa" w:w="1742"/>
          </w:tcPr>
          <w:p>
            <w:r>
              <w:t>0.4154</w:t>
            </w:r>
          </w:p>
        </w:tc>
        <w:tc>
          <w:tcPr>
            <w:tcW w:type="dxa" w:w="1742"/>
          </w:tcPr>
          <w:p>
            <w:r>
              <w:t>0.4538</w:t>
            </w:r>
          </w:p>
        </w:tc>
        <w:tc>
          <w:tcPr>
            <w:tcW w:type="dxa" w:w="1742"/>
          </w:tcPr>
          <w:p>
            <w:r>
              <w:t>0.3098</w:t>
            </w:r>
          </w:p>
        </w:tc>
        <w:tc>
          <w:tcPr>
            <w:tcW w:type="dxa" w:w="1742"/>
          </w:tcPr>
          <w:p>
            <w:r>
              <w:t>1.1870</w:t>
            </w:r>
          </w:p>
        </w:tc>
        <w:tc>
          <w:tcPr>
            <w:tcW w:type="dxa" w:w="1742"/>
          </w:tcPr>
          <w:p>
            <w:r>
              <w:t>0.3826</w:t>
            </w:r>
          </w:p>
        </w:tc>
      </w:tr>
      <w:tr>
        <w:tc>
          <w:tcPr>
            <w:tcW w:type="dxa" w:w="1742"/>
          </w:tcPr>
          <w:p>
            <w:r>
              <w:t>ML: logistic_text_fusion</w:t>
            </w:r>
          </w:p>
        </w:tc>
        <w:tc>
          <w:tcPr>
            <w:tcW w:type="dxa" w:w="1742"/>
          </w:tcPr>
          <w:p>
            <w:r>
              <w:t>0.4154</w:t>
            </w:r>
          </w:p>
        </w:tc>
        <w:tc>
          <w:tcPr>
            <w:tcW w:type="dxa" w:w="1742"/>
          </w:tcPr>
          <w:p>
            <w:r>
              <w:t>0.4337</w:t>
            </w:r>
          </w:p>
        </w:tc>
        <w:tc>
          <w:tcPr>
            <w:tcW w:type="dxa" w:w="1742"/>
          </w:tcPr>
          <w:p>
            <w:r>
              <w:t>0.3126</w:t>
            </w:r>
          </w:p>
        </w:tc>
        <w:tc>
          <w:tcPr>
            <w:tcW w:type="dxa" w:w="1742"/>
          </w:tcPr>
          <w:p>
            <w:r>
              <w:t>1.1868</w:t>
            </w:r>
          </w:p>
        </w:tc>
        <w:tc>
          <w:tcPr>
            <w:tcW w:type="dxa" w:w="1742"/>
          </w:tcPr>
          <w:p>
            <w:r>
              <w:t>0.3657</w:t>
            </w:r>
          </w:p>
        </w:tc>
      </w:tr>
      <w:tr>
        <w:tc>
          <w:tcPr>
            <w:tcW w:type="dxa" w:w="1742"/>
          </w:tcPr>
          <w:p>
            <w:r>
              <w:t>ML: xgboost_tabular</w:t>
            </w:r>
          </w:p>
        </w:tc>
        <w:tc>
          <w:tcPr>
            <w:tcW w:type="dxa" w:w="1742"/>
          </w:tcPr>
          <w:p>
            <w:r>
              <w:t>0.4030</w:t>
            </w:r>
          </w:p>
        </w:tc>
        <w:tc>
          <w:tcPr>
            <w:tcW w:type="dxa" w:w="1742"/>
          </w:tcPr>
          <w:p>
            <w:r>
              <w:t>0.4378</w:t>
            </w:r>
          </w:p>
        </w:tc>
        <w:tc>
          <w:tcPr>
            <w:tcW w:type="dxa" w:w="1742"/>
          </w:tcPr>
          <w:p>
            <w:r>
              <w:t>0.3178</w:t>
            </w:r>
          </w:p>
        </w:tc>
        <w:tc>
          <w:tcPr>
            <w:tcW w:type="dxa" w:w="1742"/>
          </w:tcPr>
          <w:p>
            <w:r>
              <w:t>1.1513</w:t>
            </w:r>
          </w:p>
        </w:tc>
        <w:tc>
          <w:tcPr>
            <w:tcW w:type="dxa" w:w="1742"/>
          </w:tcPr>
          <w:p>
            <w:r>
              <w:t>0.3805</w:t>
            </w:r>
          </w:p>
        </w:tc>
      </w:tr>
      <w:tr>
        <w:tc>
          <w:tcPr>
            <w:tcW w:type="dxa" w:w="1742"/>
          </w:tcPr>
          <w:p>
            <w:r>
              <w:t>BERT-Embedding</w:t>
            </w:r>
          </w:p>
        </w:tc>
        <w:tc>
          <w:tcPr>
            <w:tcW w:type="dxa" w:w="1742"/>
          </w:tcPr>
          <w:p>
            <w:r>
              <w:t>0.3859</w:t>
            </w:r>
          </w:p>
        </w:tc>
        <w:tc>
          <w:tcPr>
            <w:tcW w:type="dxa" w:w="1742"/>
          </w:tcPr>
          <w:p>
            <w:r>
              <w:t>0.4177</w:t>
            </w:r>
          </w:p>
        </w:tc>
        <w:tc>
          <w:tcPr>
            <w:tcW w:type="dxa" w:w="1742"/>
          </w:tcPr>
          <w:p>
            <w:r>
              <w:t>0.3284</w:t>
            </w:r>
          </w:p>
        </w:tc>
        <w:tc>
          <w:tcPr>
            <w:tcW w:type="dxa" w:w="1742"/>
          </w:tcPr>
          <w:p>
            <w:r>
              <w:t>1.1026</w:t>
            </w:r>
          </w:p>
        </w:tc>
        <w:tc>
          <w:tcPr>
            <w:tcW w:type="dxa" w:w="1742"/>
          </w:tcPr>
          <w:p>
            <w:r>
              <w:t>0.3790</w:t>
            </w:r>
          </w:p>
        </w:tc>
      </w:tr>
      <w:tr>
        <w:tc>
          <w:tcPr>
            <w:tcW w:type="dxa" w:w="1742"/>
          </w:tcPr>
          <w:p>
            <w:r>
              <w:t>BERT-Finetune</w:t>
            </w:r>
          </w:p>
        </w:tc>
        <w:tc>
          <w:tcPr>
            <w:tcW w:type="dxa" w:w="1742"/>
          </w:tcPr>
          <w:p>
            <w:r>
              <w:t>0.3895</w:t>
            </w:r>
          </w:p>
        </w:tc>
        <w:tc>
          <w:tcPr>
            <w:tcW w:type="dxa" w:w="1742"/>
          </w:tcPr>
          <w:p>
            <w:r>
              <w:t>0.4317</w:t>
            </w:r>
          </w:p>
        </w:tc>
        <w:tc>
          <w:tcPr>
            <w:tcW w:type="dxa" w:w="1742"/>
          </w:tcPr>
          <w:p>
            <w:r>
              <w:t>0.3253</w:t>
            </w:r>
          </w:p>
        </w:tc>
        <w:tc>
          <w:tcPr>
            <w:tcW w:type="dxa" w:w="1742"/>
          </w:tcPr>
          <w:p>
            <w:r>
              <w:t>1.1128</w:t>
            </w:r>
          </w:p>
        </w:tc>
        <w:tc>
          <w:tcPr>
            <w:tcW w:type="dxa" w:w="1742"/>
          </w:tcPr>
          <w:p>
            <w:r>
              <w:t>0.3882</w:t>
            </w:r>
          </w:p>
        </w:tc>
      </w:tr>
      <w:tr>
        <w:tc>
          <w:tcPr>
            <w:tcW w:type="dxa" w:w="1742"/>
          </w:tcPr>
          <w:p>
            <w:r>
              <w:t>LLM Two-Stage (Qwen3-0.6B)</w:t>
            </w:r>
          </w:p>
        </w:tc>
        <w:tc>
          <w:tcPr>
            <w:tcW w:type="dxa" w:w="1742"/>
          </w:tcPr>
          <w:p>
            <w:r>
              <w:t>0.3653</w:t>
            </w:r>
          </w:p>
        </w:tc>
        <w:tc>
          <w:tcPr>
            <w:tcW w:type="dxa" w:w="1742"/>
          </w:tcPr>
          <w:p>
            <w:r>
              <w:t>0.3675</w:t>
            </w:r>
          </w:p>
        </w:tc>
        <w:tc>
          <w:tcPr>
            <w:tcW w:type="dxa" w:w="1742"/>
          </w:tcPr>
          <w:p>
            <w:r>
              <w:t>0.3420</w:t>
            </w:r>
          </w:p>
        </w:tc>
        <w:tc>
          <w:tcPr>
            <w:tcW w:type="dxa" w:w="1742"/>
          </w:tcPr>
          <w:p>
            <w:r>
              <w:t>1.0436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</w:tr>
    </w:tbl>
    <w:p>
      <w:pPr>
        <w:pStyle w:val="BodyText"/>
      </w:pPr>
      <w:r>
        <w:t>在拒绝率接近 35% 的公平约束下，DataAnalysis 与 logistic_tabular 仍最稳健；LLM 两阶段可用但与结构化主线存在明显差距。</w:t>
      </w:r>
    </w:p>
    <w:p>
      <w:pPr>
        <w:pStyle w:val="Heading2"/>
      </w:pPr>
      <w:r>
        <w:t>扩展 LLM 对比（口径 A：同测试集，但未全部满足 RR 对齐）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Precision@RR</w:t>
            </w:r>
          </w:p>
        </w:tc>
        <w:tc>
          <w:tcPr>
            <w:tcW w:type="dxa" w:w="1742"/>
          </w:tcPr>
          <w:p>
            <w:r>
              <w:t>Recall@RR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Lift@RR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LLM Two-Stage (Qwen3-0.6B)</w:t>
            </w:r>
          </w:p>
        </w:tc>
        <w:tc>
          <w:tcPr>
            <w:tcW w:type="dxa" w:w="1742"/>
          </w:tcPr>
          <w:p>
            <w:r>
              <w:t>0.3653</w:t>
            </w:r>
          </w:p>
        </w:tc>
        <w:tc>
          <w:tcPr>
            <w:tcW w:type="dxa" w:w="1742"/>
          </w:tcPr>
          <w:p>
            <w:r>
              <w:t>0.3675</w:t>
            </w:r>
          </w:p>
        </w:tc>
        <w:tc>
          <w:tcPr>
            <w:tcW w:type="dxa" w:w="1742"/>
          </w:tcPr>
          <w:p>
            <w:r>
              <w:t>0.3420</w:t>
            </w:r>
          </w:p>
        </w:tc>
        <w:tc>
          <w:tcPr>
            <w:tcW w:type="dxa" w:w="1742"/>
          </w:tcPr>
          <w:p>
            <w:r>
              <w:t>1.0436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</w:tr>
      <w:tr>
        <w:tc>
          <w:tcPr>
            <w:tcW w:type="dxa" w:w="1742"/>
          </w:tcPr>
          <w:p>
            <w:r>
              <w:t>LLM One-Stage (Qwen3-0.6B)</w:t>
            </w:r>
          </w:p>
        </w:tc>
        <w:tc>
          <w:tcPr>
            <w:tcW w:type="dxa" w:w="1742"/>
          </w:tcPr>
          <w:p>
            <w:r>
              <w:t>0.3587</w:t>
            </w:r>
          </w:p>
        </w:tc>
        <w:tc>
          <w:tcPr>
            <w:tcW w:type="dxa" w:w="1742"/>
          </w:tcPr>
          <w:p>
            <w:r>
              <w:t>0.6245</w:t>
            </w:r>
          </w:p>
        </w:tc>
        <w:tc>
          <w:tcPr>
            <w:tcW w:type="dxa" w:w="1742"/>
          </w:tcPr>
          <w:p>
            <w:r>
              <w:t>0.3369</w:t>
            </w:r>
          </w:p>
        </w:tc>
        <w:tc>
          <w:tcPr>
            <w:tcW w:type="dxa" w:w="1742"/>
          </w:tcPr>
          <w:p>
            <w:r>
              <w:t>1.0249</w:t>
            </w:r>
          </w:p>
        </w:tc>
        <w:tc>
          <w:tcPr>
            <w:tcW w:type="dxa" w:w="1742"/>
          </w:tcPr>
          <w:p>
            <w:r>
              <w:t>0.6097</w:t>
            </w:r>
          </w:p>
        </w:tc>
      </w:tr>
      <w:tr>
        <w:tc>
          <w:tcPr>
            <w:tcW w:type="dxa" w:w="1742"/>
          </w:tcPr>
          <w:p>
            <w:r>
              <w:t>GPT-5.2 (External, no finetune)</w:t>
            </w:r>
          </w:p>
        </w:tc>
        <w:tc>
          <w:tcPr>
            <w:tcW w:type="dxa" w:w="1742"/>
          </w:tcPr>
          <w:p>
            <w:r>
              <w:t>0.3462</w:t>
            </w:r>
          </w:p>
        </w:tc>
        <w:tc>
          <w:tcPr>
            <w:tcW w:type="dxa" w:w="1742"/>
          </w:tcPr>
          <w:p>
            <w:r>
              <w:t>0.8133</w:t>
            </w:r>
          </w:p>
        </w:tc>
        <w:tc>
          <w:tcPr>
            <w:tcW w:type="dxa" w:w="1742"/>
          </w:tcPr>
          <w:p>
            <w:r>
              <w:t>0.3690</w:t>
            </w:r>
          </w:p>
        </w:tc>
        <w:tc>
          <w:tcPr>
            <w:tcW w:type="dxa" w:w="1742"/>
          </w:tcPr>
          <w:p>
            <w:r>
              <w:t>0.9884</w:t>
            </w:r>
          </w:p>
        </w:tc>
        <w:tc>
          <w:tcPr>
            <w:tcW w:type="dxa" w:w="1742"/>
          </w:tcPr>
          <w:p>
            <w:r>
              <w:t>0.8228</w:t>
            </w:r>
          </w:p>
        </w:tc>
      </w:tr>
    </w:tbl>
    <w:p>
      <w:pPr>
        <w:pStyle w:val="BodyText"/>
      </w:pPr>
      <w:r>
        <w:t>扩展结果表明：单阶段 LLM 与 GPT-5.2 的高召回主要来自“高拒绝率策略”，并非同约束下的判别优势；因此不并入主榜结论。</w:t>
      </w:r>
    </w:p>
    <w:p>
      <w:pPr>
        <w:pStyle w:val="Heading2"/>
      </w:pPr>
      <w:r>
        <w:t>全量业务口径结果（口径 B：n=123,202，RR 目标=0.1533）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模型</w:t>
            </w:r>
          </w:p>
        </w:tc>
        <w:tc>
          <w:tcPr>
            <w:tcW w:type="dxa" w:w="1742"/>
          </w:tcPr>
          <w:p>
            <w:r>
              <w:t>Precision@RR</w:t>
            </w:r>
          </w:p>
        </w:tc>
        <w:tc>
          <w:tcPr>
            <w:tcW w:type="dxa" w:w="1742"/>
          </w:tcPr>
          <w:p>
            <w:r>
              <w:t>Recall@RR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Lift@RR</w:t>
            </w:r>
          </w:p>
        </w:tc>
        <w:tc>
          <w:tcPr>
            <w:tcW w:type="dxa" w:w="1742"/>
          </w:tcPr>
          <w:p>
            <w:r>
              <w:t>实际 Reject Rate</w:t>
            </w:r>
          </w:p>
        </w:tc>
      </w:tr>
      <w:tr>
        <w:tc>
          <w:tcPr>
            <w:tcW w:type="dxa" w:w="1742"/>
          </w:tcPr>
          <w:p>
            <w:r>
              <w:t>ML: logistic_tabular</w:t>
            </w:r>
          </w:p>
        </w:tc>
        <w:tc>
          <w:tcPr>
            <w:tcW w:type="dxa" w:w="1742"/>
          </w:tcPr>
          <w:p>
            <w:r>
              <w:t>0.3069</w:t>
            </w:r>
          </w:p>
        </w:tc>
        <w:tc>
          <w:tcPr>
            <w:tcW w:type="dxa" w:w="1742"/>
          </w:tcPr>
          <w:p>
            <w:r>
              <w:t>0.2992</w:t>
            </w:r>
          </w:p>
        </w:tc>
        <w:tc>
          <w:tcPr>
            <w:tcW w:type="dxa" w:w="1742"/>
          </w:tcPr>
          <w:p>
            <w:r>
              <w:t>0.1263</w:t>
            </w:r>
          </w:p>
        </w:tc>
        <w:tc>
          <w:tcPr>
            <w:tcW w:type="dxa" w:w="1742"/>
          </w:tcPr>
          <w:p>
            <w:r>
              <w:t>2.0023</w:t>
            </w:r>
          </w:p>
        </w:tc>
        <w:tc>
          <w:tcPr>
            <w:tcW w:type="dxa" w:w="1742"/>
          </w:tcPr>
          <w:p>
            <w:r>
              <w:t>0.1494</w:t>
            </w:r>
          </w:p>
        </w:tc>
      </w:tr>
      <w:tr>
        <w:tc>
          <w:tcPr>
            <w:tcW w:type="dxa" w:w="1742"/>
          </w:tcPr>
          <w:p>
            <w:r>
              <w:t>ML: logistic_text_fusion</w:t>
            </w:r>
          </w:p>
        </w:tc>
        <w:tc>
          <w:tcPr>
            <w:tcW w:type="dxa" w:w="1742"/>
          </w:tcPr>
          <w:p>
            <w:r>
              <w:t>0.2994</w:t>
            </w:r>
          </w:p>
        </w:tc>
        <w:tc>
          <w:tcPr>
            <w:tcW w:type="dxa" w:w="1742"/>
          </w:tcPr>
          <w:p>
            <w:r>
              <w:t>0.3050</w:t>
            </w:r>
          </w:p>
        </w:tc>
        <w:tc>
          <w:tcPr>
            <w:tcW w:type="dxa" w:w="1742"/>
          </w:tcPr>
          <w:p>
            <w:r>
              <w:t>0.1262</w:t>
            </w:r>
          </w:p>
        </w:tc>
        <w:tc>
          <w:tcPr>
            <w:tcW w:type="dxa" w:w="1742"/>
          </w:tcPr>
          <w:p>
            <w:r>
              <w:t>1.9532</w:t>
            </w:r>
          </w:p>
        </w:tc>
        <w:tc>
          <w:tcPr>
            <w:tcW w:type="dxa" w:w="1742"/>
          </w:tcPr>
          <w:p>
            <w:r>
              <w:t>0.1562</w:t>
            </w:r>
          </w:p>
        </w:tc>
      </w:tr>
      <w:tr>
        <w:tc>
          <w:tcPr>
            <w:tcW w:type="dxa" w:w="1742"/>
          </w:tcPr>
          <w:p>
            <w:r>
              <w:t>ML: xgboost_tabular</w:t>
            </w:r>
          </w:p>
        </w:tc>
        <w:tc>
          <w:tcPr>
            <w:tcW w:type="dxa" w:w="1742"/>
          </w:tcPr>
          <w:p>
            <w:r>
              <w:t>0.3153</w:t>
            </w:r>
          </w:p>
        </w:tc>
        <w:tc>
          <w:tcPr>
            <w:tcW w:type="dxa" w:w="1742"/>
          </w:tcPr>
          <w:p>
            <w:r>
              <w:t>0.3095</w:t>
            </w:r>
          </w:p>
        </w:tc>
        <w:tc>
          <w:tcPr>
            <w:tcW w:type="dxa" w:w="1742"/>
          </w:tcPr>
          <w:p>
            <w:r>
              <w:t>0.1246</w:t>
            </w:r>
          </w:p>
        </w:tc>
        <w:tc>
          <w:tcPr>
            <w:tcW w:type="dxa" w:w="1742"/>
          </w:tcPr>
          <w:p>
            <w:r>
              <w:t>2.0568</w:t>
            </w:r>
          </w:p>
        </w:tc>
        <w:tc>
          <w:tcPr>
            <w:tcW w:type="dxa" w:w="1742"/>
          </w:tcPr>
          <w:p>
            <w:r>
              <w:t>0.1505</w:t>
            </w:r>
          </w:p>
        </w:tc>
      </w:tr>
      <w:tr>
        <w:tc>
          <w:tcPr>
            <w:tcW w:type="dxa" w:w="1742"/>
          </w:tcPr>
          <w:p>
            <w:r>
              <w:t>DataAnalysis</w:t>
            </w:r>
          </w:p>
        </w:tc>
        <w:tc>
          <w:tcPr>
            <w:tcW w:type="dxa" w:w="1742"/>
          </w:tcPr>
          <w:p>
            <w:r>
              <w:t>0.2849</w:t>
            </w:r>
          </w:p>
        </w:tc>
        <w:tc>
          <w:tcPr>
            <w:tcW w:type="dxa" w:w="1742"/>
          </w:tcPr>
          <w:p>
            <w:r>
              <w:t>0.2851</w:t>
            </w:r>
          </w:p>
        </w:tc>
        <w:tc>
          <w:tcPr>
            <w:tcW w:type="dxa" w:w="1742"/>
          </w:tcPr>
          <w:p>
            <w:r>
              <w:t>0.1294</w:t>
            </w:r>
          </w:p>
        </w:tc>
        <w:tc>
          <w:tcPr>
            <w:tcW w:type="dxa" w:w="1742"/>
          </w:tcPr>
          <w:p>
            <w:r>
              <w:t>1.8589</w:t>
            </w:r>
          </w:p>
        </w:tc>
        <w:tc>
          <w:tcPr>
            <w:tcW w:type="dxa" w:w="1742"/>
          </w:tcPr>
          <w:p>
            <w:r>
              <w:t>0.1534</w:t>
            </w:r>
          </w:p>
        </w:tc>
      </w:tr>
    </w:tbl>
    <w:p>
      <w:pPr>
        <w:pStyle w:val="BodyText"/>
      </w:pPr>
      <w:r>
        <w:t>在全量分布下，xgboost_tabular 取代 logistic_tabular 成为最优，这表明主模型排序与样本分布、RR_target 设定有关。</w:t>
      </w:r>
    </w:p>
    <w:p>
      <w:pPr>
        <w:pStyle w:val="Heading2"/>
      </w:pPr>
      <w:r>
        <w:t>拒绝率扫描：模型排序是否稳定（口径 A）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</w:tcPr>
          <w:p>
            <w:r>
              <w:t>模型</w:t>
            </w:r>
          </w:p>
        </w:tc>
        <w:tc>
          <w:tcPr>
            <w:tcW w:type="dxa" w:w="2091"/>
          </w:tcPr>
          <w:p>
            <w:r>
              <w:t>RR=10% Precision</w:t>
            </w:r>
          </w:p>
        </w:tc>
        <w:tc>
          <w:tcPr>
            <w:tcW w:type="dxa" w:w="2091"/>
          </w:tcPr>
          <w:p>
            <w:r>
              <w:t>RR=20% Precision</w:t>
            </w:r>
          </w:p>
        </w:tc>
        <w:tc>
          <w:tcPr>
            <w:tcW w:type="dxa" w:w="2091"/>
          </w:tcPr>
          <w:p>
            <w:r>
              <w:t>RR=35% Precision</w:t>
            </w:r>
          </w:p>
        </w:tc>
        <w:tc>
          <w:tcPr>
            <w:tcW w:type="dxa" w:w="2091"/>
          </w:tcPr>
          <w:p>
            <w:r>
              <w:t>RR=50% Precision</w:t>
            </w:r>
          </w:p>
        </w:tc>
      </w:tr>
      <w:tr>
        <w:tc>
          <w:tcPr>
            <w:tcW w:type="dxa" w:w="2091"/>
          </w:tcPr>
          <w:p>
            <w:r>
              <w:t>ML: logistic_tabular</w:t>
            </w:r>
          </w:p>
        </w:tc>
        <w:tc>
          <w:tcPr>
            <w:tcW w:type="dxa" w:w="2091"/>
          </w:tcPr>
          <w:p>
            <w:r>
              <w:t>0.5180</w:t>
            </w:r>
          </w:p>
        </w:tc>
        <w:tc>
          <w:tcPr>
            <w:tcW w:type="dxa" w:w="2091"/>
          </w:tcPr>
          <w:p>
            <w:r>
              <w:t>0.4712</w:t>
            </w:r>
          </w:p>
        </w:tc>
        <w:tc>
          <w:tcPr>
            <w:tcW w:type="dxa" w:w="2091"/>
          </w:tcPr>
          <w:p>
            <w:r>
              <w:t>0.4154</w:t>
            </w:r>
          </w:p>
        </w:tc>
        <w:tc>
          <w:tcPr>
            <w:tcW w:type="dxa" w:w="2091"/>
          </w:tcPr>
          <w:p>
            <w:r>
              <w:t>0.4023</w:t>
            </w:r>
          </w:p>
        </w:tc>
      </w:tr>
      <w:tr>
        <w:tc>
          <w:tcPr>
            <w:tcW w:type="dxa" w:w="2091"/>
          </w:tcPr>
          <w:p>
            <w:r>
              <w:t>DataAnalysis</w:t>
            </w:r>
          </w:p>
        </w:tc>
        <w:tc>
          <w:tcPr>
            <w:tcW w:type="dxa" w:w="2091"/>
          </w:tcPr>
          <w:p>
            <w:r>
              <w:t>0.4797</w:t>
            </w:r>
          </w:p>
        </w:tc>
        <w:tc>
          <w:tcPr>
            <w:tcW w:type="dxa" w:w="2091"/>
          </w:tcPr>
          <w:p>
            <w:r>
              <w:t>0.4254</w:t>
            </w:r>
          </w:p>
        </w:tc>
        <w:tc>
          <w:tcPr>
            <w:tcW w:type="dxa" w:w="2091"/>
          </w:tcPr>
          <w:p>
            <w:r>
              <w:t>0.4175</w:t>
            </w:r>
          </w:p>
        </w:tc>
        <w:tc>
          <w:tcPr>
            <w:tcW w:type="dxa" w:w="2091"/>
          </w:tcPr>
          <w:p>
            <w:r>
              <w:t>0.3992</w:t>
            </w:r>
          </w:p>
        </w:tc>
      </w:tr>
      <w:tr>
        <w:tc>
          <w:tcPr>
            <w:tcW w:type="dxa" w:w="2091"/>
          </w:tcPr>
          <w:p>
            <w:r>
              <w:t>ML: xgboost_tabular</w:t>
            </w:r>
          </w:p>
        </w:tc>
        <w:tc>
          <w:tcPr>
            <w:tcW w:type="dxa" w:w="2091"/>
          </w:tcPr>
          <w:p>
            <w:r>
              <w:t>0.4248</w:t>
            </w:r>
          </w:p>
        </w:tc>
        <w:tc>
          <w:tcPr>
            <w:tcW w:type="dxa" w:w="2091"/>
          </w:tcPr>
          <w:p>
            <w:r>
              <w:t>0.4415</w:t>
            </w:r>
          </w:p>
        </w:tc>
        <w:tc>
          <w:tcPr>
            <w:tcW w:type="dxa" w:w="2091"/>
          </w:tcPr>
          <w:p>
            <w:r>
              <w:t>0.4030</w:t>
            </w:r>
          </w:p>
        </w:tc>
        <w:tc>
          <w:tcPr>
            <w:tcW w:type="dxa" w:w="2091"/>
          </w:tcPr>
          <w:p>
            <w:r>
              <w:t>0.3963</w:t>
            </w:r>
          </w:p>
        </w:tc>
      </w:tr>
      <w:tr>
        <w:tc>
          <w:tcPr>
            <w:tcW w:type="dxa" w:w="2091"/>
          </w:tcPr>
          <w:p>
            <w:r>
              <w:t>BERT-Finetune</w:t>
            </w:r>
          </w:p>
        </w:tc>
        <w:tc>
          <w:tcPr>
            <w:tcW w:type="dxa" w:w="2091"/>
          </w:tcPr>
          <w:p>
            <w:r>
              <w:t>0.4044</w:t>
            </w:r>
          </w:p>
        </w:tc>
        <w:tc>
          <w:tcPr>
            <w:tcW w:type="dxa" w:w="2091"/>
          </w:tcPr>
          <w:p>
            <w:r>
              <w:t>0.3789</w:t>
            </w:r>
          </w:p>
        </w:tc>
        <w:tc>
          <w:tcPr>
            <w:tcW w:type="dxa" w:w="2091"/>
          </w:tcPr>
          <w:p>
            <w:r>
              <w:t>0.3895</w:t>
            </w:r>
          </w:p>
        </w:tc>
        <w:tc>
          <w:tcPr>
            <w:tcW w:type="dxa" w:w="2091"/>
          </w:tcPr>
          <w:p>
            <w:r>
              <w:t>0.3826</w:t>
            </w:r>
          </w:p>
        </w:tc>
      </w:tr>
    </w:tbl>
    <w:p>
      <w:pPr>
        <w:pStyle w:val="BodyText"/>
      </w:pPr>
      <w:r>
        <w:t>观察：低拒绝率区间（10%-20%）下 logistic_tabular 优势最明显；随着拒绝率提高，模型精度差距缩小，但结构化路线仍保持相对领先。</w:t>
      </w:r>
    </w:p>
    <w:p>
      <w:pPr>
        <w:pStyle w:val="Heading2"/>
      </w:pPr>
      <w:r>
        <w:t>两阶段 LLM 阈值敏感性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t>设置</w:t>
            </w:r>
          </w:p>
        </w:tc>
        <w:tc>
          <w:tcPr>
            <w:tcW w:type="dxa" w:w="1742"/>
          </w:tcPr>
          <w:p>
            <w:r>
              <w:t>Reject Rate</w:t>
            </w:r>
          </w:p>
        </w:tc>
        <w:tc>
          <w:tcPr>
            <w:tcW w:type="dxa" w:w="1742"/>
          </w:tcPr>
          <w:p>
            <w:r>
              <w:t>Precision</w:t>
            </w:r>
          </w:p>
        </w:tc>
        <w:tc>
          <w:tcPr>
            <w:tcW w:type="dxa" w:w="1742"/>
          </w:tcPr>
          <w:p>
            <w:r>
              <w:t>Recall</w:t>
            </w:r>
          </w:p>
        </w:tc>
        <w:tc>
          <w:tcPr>
            <w:tcW w:type="dxa" w:w="1742"/>
          </w:tcPr>
          <w:p>
            <w:r>
              <w:t>Approval Bad Rate</w:t>
            </w:r>
          </w:p>
        </w:tc>
        <w:tc>
          <w:tcPr>
            <w:tcW w:type="dxa" w:w="1742"/>
          </w:tcPr>
          <w:p>
            <w:r>
              <w:t>Lift</w:t>
            </w:r>
          </w:p>
        </w:tc>
      </w:tr>
      <w:tr>
        <w:tc>
          <w:tcPr>
            <w:tcW w:type="dxa" w:w="1742"/>
          </w:tcPr>
          <w:p>
            <w:r>
              <w:t>默认阈值（delta&gt;=0）</w:t>
            </w:r>
          </w:p>
        </w:tc>
        <w:tc>
          <w:tcPr>
            <w:tcW w:type="dxa" w:w="1742"/>
          </w:tcPr>
          <w:p>
            <w:r>
              <w:t>0.2820</w:t>
            </w:r>
          </w:p>
        </w:tc>
        <w:tc>
          <w:tcPr>
            <w:tcW w:type="dxa" w:w="1742"/>
          </w:tcPr>
          <w:p>
            <w:r>
              <w:t>0.3691</w:t>
            </w:r>
          </w:p>
        </w:tc>
        <w:tc>
          <w:tcPr>
            <w:tcW w:type="dxa" w:w="1742"/>
          </w:tcPr>
          <w:p>
            <w:r>
              <w:t>0.2972</w:t>
            </w:r>
          </w:p>
        </w:tc>
        <w:tc>
          <w:tcPr>
            <w:tcW w:type="dxa" w:w="1742"/>
          </w:tcPr>
          <w:p>
            <w:r>
              <w:t>0.3428</w:t>
            </w:r>
          </w:p>
        </w:tc>
        <w:tc>
          <w:tcPr>
            <w:tcW w:type="dxa" w:w="1742"/>
          </w:tcPr>
          <w:p>
            <w:r>
              <w:t>1.0545</w:t>
            </w:r>
          </w:p>
        </w:tc>
      </w:tr>
      <w:tr>
        <w:tc>
          <w:tcPr>
            <w:tcW w:type="dxa" w:w="1742"/>
          </w:tcPr>
          <w:p>
            <w:r>
              <w:t>固定 RR=35%（验证集重标定）</w:t>
            </w:r>
          </w:p>
        </w:tc>
        <w:tc>
          <w:tcPr>
            <w:tcW w:type="dxa" w:w="1742"/>
          </w:tcPr>
          <w:p>
            <w:r>
              <w:t>0.3523</w:t>
            </w:r>
          </w:p>
        </w:tc>
        <w:tc>
          <w:tcPr>
            <w:tcW w:type="dxa" w:w="1742"/>
          </w:tcPr>
          <w:p>
            <w:r>
              <w:t>0.3653</w:t>
            </w:r>
          </w:p>
        </w:tc>
        <w:tc>
          <w:tcPr>
            <w:tcW w:type="dxa" w:w="1742"/>
          </w:tcPr>
          <w:p>
            <w:r>
              <w:t>0.3675</w:t>
            </w:r>
          </w:p>
        </w:tc>
        <w:tc>
          <w:tcPr>
            <w:tcW w:type="dxa" w:w="1742"/>
          </w:tcPr>
          <w:p>
            <w:r>
              <w:t>0.3420</w:t>
            </w:r>
          </w:p>
        </w:tc>
        <w:tc>
          <w:tcPr>
            <w:tcW w:type="dxa" w:w="1742"/>
          </w:tcPr>
          <w:p>
            <w:r>
              <w:t>1.0436</w:t>
            </w:r>
          </w:p>
        </w:tc>
      </w:tr>
    </w:tbl>
    <w:p>
      <w:pPr>
        <w:pStyle w:val="BodyText"/>
      </w:pPr>
      <w:r>
        <w:t>结果显示，重标定主要改善了召回（+7.03 个百分点），但 Precision 略降，且放行坏账率改善有限。</w:t>
      </w:r>
    </w:p>
    <w:p>
      <w:pPr>
        <w:pStyle w:val="Heading2"/>
      </w:pPr>
      <w:r>
        <w:t>不确定性（Bootstrap 95% CI）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模型</w:t>
            </w:r>
          </w:p>
        </w:tc>
        <w:tc>
          <w:tcPr>
            <w:tcW w:type="dxa" w:w="2613"/>
          </w:tcPr>
          <w:p>
            <w:r>
              <w:t>Precision (95% CI)</w:t>
            </w:r>
          </w:p>
        </w:tc>
        <w:tc>
          <w:tcPr>
            <w:tcW w:type="dxa" w:w="2613"/>
          </w:tcPr>
          <w:p>
            <w:r>
              <w:t>Recall (95% CI)</w:t>
            </w:r>
          </w:p>
        </w:tc>
        <w:tc>
          <w:tcPr>
            <w:tcW w:type="dxa" w:w="2613"/>
          </w:tcPr>
          <w:p>
            <w:r>
              <w:t>Approval Bad Rate (95% CI)</w:t>
            </w:r>
          </w:p>
        </w:tc>
      </w:tr>
      <w:tr>
        <w:tc>
          <w:tcPr>
            <w:tcW w:type="dxa" w:w="2613"/>
          </w:tcPr>
          <w:p>
            <w:r>
              <w:t>DataAnalysis</w:t>
            </w:r>
          </w:p>
        </w:tc>
        <w:tc>
          <w:tcPr>
            <w:tcW w:type="dxa" w:w="2613"/>
          </w:tcPr>
          <w:p>
            <w:r>
              <w:t>0.4175 ([0.3735, 0.4605])</w:t>
            </w:r>
          </w:p>
        </w:tc>
        <w:tc>
          <w:tcPr>
            <w:tcW w:type="dxa" w:w="2613"/>
          </w:tcPr>
          <w:p>
            <w:r>
              <w:t>0.4317 ([0.3906, 0.4767])</w:t>
            </w:r>
          </w:p>
        </w:tc>
        <w:tc>
          <w:tcPr>
            <w:tcW w:type="dxa" w:w="2613"/>
          </w:tcPr>
          <w:p>
            <w:r>
              <w:t>0.3120 ([0.2834, 0.3428])</w:t>
            </w:r>
          </w:p>
        </w:tc>
      </w:tr>
      <w:tr>
        <w:tc>
          <w:tcPr>
            <w:tcW w:type="dxa" w:w="2613"/>
          </w:tcPr>
          <w:p>
            <w:r>
              <w:t>ML: logistic_tabular</w:t>
            </w:r>
          </w:p>
        </w:tc>
        <w:tc>
          <w:tcPr>
            <w:tcW w:type="dxa" w:w="2613"/>
          </w:tcPr>
          <w:p>
            <w:r>
              <w:t>0.4154 ([0.3766, 0.4532])</w:t>
            </w:r>
          </w:p>
        </w:tc>
        <w:tc>
          <w:tcPr>
            <w:tcW w:type="dxa" w:w="2613"/>
          </w:tcPr>
          <w:p>
            <w:r>
              <w:t>0.4538 ([0.4094, 0.5000])</w:t>
            </w:r>
          </w:p>
        </w:tc>
        <w:tc>
          <w:tcPr>
            <w:tcW w:type="dxa" w:w="2613"/>
          </w:tcPr>
          <w:p>
            <w:r>
              <w:t>0.3098 ([0.2793, 0.3395])</w:t>
            </w:r>
          </w:p>
        </w:tc>
      </w:tr>
      <w:tr>
        <w:tc>
          <w:tcPr>
            <w:tcW w:type="dxa" w:w="2613"/>
          </w:tcPr>
          <w:p>
            <w:r>
              <w:t>BERT-Finetune</w:t>
            </w:r>
          </w:p>
        </w:tc>
        <w:tc>
          <w:tcPr>
            <w:tcW w:type="dxa" w:w="2613"/>
          </w:tcPr>
          <w:p>
            <w:r>
              <w:t>0.3895 ([0.3498, 0.4328])</w:t>
            </w:r>
          </w:p>
        </w:tc>
        <w:tc>
          <w:tcPr>
            <w:tcW w:type="dxa" w:w="2613"/>
          </w:tcPr>
          <w:p>
            <w:r>
              <w:t>0.4317 ([0.3861, 0.4807])</w:t>
            </w:r>
          </w:p>
        </w:tc>
        <w:tc>
          <w:tcPr>
            <w:tcW w:type="dxa" w:w="2613"/>
          </w:tcPr>
          <w:p>
            <w:r>
              <w:t>0.3253 ([0.2957, 0.3573])</w:t>
            </w:r>
          </w:p>
        </w:tc>
      </w:tr>
      <w:tr>
        <w:tc>
          <w:tcPr>
            <w:tcW w:type="dxa" w:w="2613"/>
          </w:tcPr>
          <w:p>
            <w:r>
              <w:t>LLM Two-Stage FixedRR</w:t>
            </w:r>
          </w:p>
        </w:tc>
        <w:tc>
          <w:tcPr>
            <w:tcW w:type="dxa" w:w="2613"/>
          </w:tcPr>
          <w:p>
            <w:r>
              <w:t>0.3653 ([0.3245, 0.4077])</w:t>
            </w:r>
          </w:p>
        </w:tc>
        <w:tc>
          <w:tcPr>
            <w:tcW w:type="dxa" w:w="2613"/>
          </w:tcPr>
          <w:p>
            <w:r>
              <w:t>0.3675 ([0.3273, 0.4088])</w:t>
            </w:r>
          </w:p>
        </w:tc>
        <w:tc>
          <w:tcPr>
            <w:tcW w:type="dxa" w:w="2613"/>
          </w:tcPr>
          <w:p>
            <w:r>
              <w:t>0.3420 ([0.3131, 0.3706])</w:t>
            </w:r>
          </w:p>
        </w:tc>
      </w:tr>
    </w:tbl>
    <w:p>
      <w:pPr>
        <w:pStyle w:val="BodyText"/>
      </w:pPr>
      <w:r>
        <w:t>置信区间结果与主结论一致：LLM 与结构化基线之间仍存在明显性能差距，尤其在 Precision 与 Approval Bad Rate 上。</w:t>
      </w:r>
    </w:p>
    <w:p>
      <w:pPr>
        <w:pStyle w:val="Heading2"/>
      </w:pPr>
      <w:r>
        <w:t>误差结构视角：每千笔申请的业务代价（口径 A）</w:t>
      </w:r>
    </w:p>
    <w:p>
      <w:pPr>
        <w:pStyle w:val="BodyText"/>
      </w:pPr>
      <w:r>
        <w:t>为了将指标转换为业务可读语义，我们将主结果换算为“每 1000 笔申请”的近似误差结构：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t>模型</w:t>
            </w:r>
          </w:p>
        </w:tc>
        <w:tc>
          <w:tcPr>
            <w:tcW w:type="dxa" w:w="2613"/>
          </w:tcPr>
          <w:p>
            <w:r>
              <w:t>每1000笔捕获违约（TP）</w:t>
            </w:r>
          </w:p>
        </w:tc>
        <w:tc>
          <w:tcPr>
            <w:tcW w:type="dxa" w:w="2613"/>
          </w:tcPr>
          <w:p>
            <w:r>
              <w:t>每1000笔放过违约（FN）</w:t>
            </w:r>
          </w:p>
        </w:tc>
        <w:tc>
          <w:tcPr>
            <w:tcW w:type="dxa" w:w="2613"/>
          </w:tcPr>
          <w:p>
            <w:r>
              <w:t>每1000笔误拒好人（FP）</w:t>
            </w:r>
          </w:p>
        </w:tc>
      </w:tr>
      <w:tr>
        <w:tc>
          <w:tcPr>
            <w:tcW w:type="dxa" w:w="2613"/>
          </w:tcPr>
          <w:p>
            <w:r>
              <w:t>ML: logistic_tabular</w:t>
            </w:r>
          </w:p>
        </w:tc>
        <w:tc>
          <w:tcPr>
            <w:tcW w:type="dxa" w:w="2613"/>
          </w:tcPr>
          <w:p>
            <w:r>
              <w:t>158.9</w:t>
            </w:r>
          </w:p>
        </w:tc>
        <w:tc>
          <w:tcPr>
            <w:tcW w:type="dxa" w:w="2613"/>
          </w:tcPr>
          <w:p>
            <w:r>
              <w:t>191.3</w:t>
            </w:r>
          </w:p>
        </w:tc>
        <w:tc>
          <w:tcPr>
            <w:tcW w:type="dxa" w:w="2613"/>
          </w:tcPr>
          <w:p>
            <w:r>
              <w:t>223.6</w:t>
            </w:r>
          </w:p>
        </w:tc>
      </w:tr>
      <w:tr>
        <w:tc>
          <w:tcPr>
            <w:tcW w:type="dxa" w:w="2613"/>
          </w:tcPr>
          <w:p>
            <w:r>
              <w:t>DataAnalysis</w:t>
            </w:r>
          </w:p>
        </w:tc>
        <w:tc>
          <w:tcPr>
            <w:tcW w:type="dxa" w:w="2613"/>
          </w:tcPr>
          <w:p>
            <w:r>
              <w:t>151.2</w:t>
            </w:r>
          </w:p>
        </w:tc>
        <w:tc>
          <w:tcPr>
            <w:tcW w:type="dxa" w:w="2613"/>
          </w:tcPr>
          <w:p>
            <w:r>
              <w:t>199.0</w:t>
            </w:r>
          </w:p>
        </w:tc>
        <w:tc>
          <w:tcPr>
            <w:tcW w:type="dxa" w:w="2613"/>
          </w:tcPr>
          <w:p>
            <w:r>
              <w:t>211.0</w:t>
            </w:r>
          </w:p>
        </w:tc>
      </w:tr>
      <w:tr>
        <w:tc>
          <w:tcPr>
            <w:tcW w:type="dxa" w:w="2613"/>
          </w:tcPr>
          <w:p>
            <w:r>
              <w:t>BERT-Finetune</w:t>
            </w:r>
          </w:p>
        </w:tc>
        <w:tc>
          <w:tcPr>
            <w:tcW w:type="dxa" w:w="2613"/>
          </w:tcPr>
          <w:p>
            <w:r>
              <w:t>151.2</w:t>
            </w:r>
          </w:p>
        </w:tc>
        <w:tc>
          <w:tcPr>
            <w:tcW w:type="dxa" w:w="2613"/>
          </w:tcPr>
          <w:p>
            <w:r>
              <w:t>199.0</w:t>
            </w:r>
          </w:p>
        </w:tc>
        <w:tc>
          <w:tcPr>
            <w:tcW w:type="dxa" w:w="2613"/>
          </w:tcPr>
          <w:p>
            <w:r>
              <w:t>237.0</w:t>
            </w:r>
          </w:p>
        </w:tc>
      </w:tr>
      <w:tr>
        <w:tc>
          <w:tcPr>
            <w:tcW w:type="dxa" w:w="2613"/>
          </w:tcPr>
          <w:p>
            <w:r>
              <w:t>LLM Two-Stage (Qwen3-0.6B)</w:t>
            </w:r>
          </w:p>
        </w:tc>
        <w:tc>
          <w:tcPr>
            <w:tcW w:type="dxa" w:w="2613"/>
          </w:tcPr>
          <w:p>
            <w:r>
              <w:t>128.7</w:t>
            </w:r>
          </w:p>
        </w:tc>
        <w:tc>
          <w:tcPr>
            <w:tcW w:type="dxa" w:w="2613"/>
          </w:tcPr>
          <w:p>
            <w:r>
              <w:t>221.5</w:t>
            </w:r>
          </w:p>
        </w:tc>
        <w:tc>
          <w:tcPr>
            <w:tcW w:type="dxa" w:w="2613"/>
          </w:tcPr>
          <w:p>
            <w:r>
              <w:t>223.6</w:t>
            </w:r>
          </w:p>
        </w:tc>
      </w:tr>
    </w:tbl>
    <w:p>
      <w:pPr>
        <w:pStyle w:val="BodyText"/>
      </w:pPr>
      <w:r>
        <w:t>关键结论是：logistic_tabular 与两阶段 LLM 在误拒好人规模上几乎相当（223.6 vs 223.6），但前者每 1000 笔可额外捕获约 30.2 笔违约。说明当前差距主要来自“违约识别能力不足”，而非“过度拒绝”。</w:t>
      </w:r>
    </w:p>
    <w:p>
      <w:pPr>
        <w:pStyle w:val="Heading1"/>
      </w:pPr>
      <w:r>
        <w:t>讨论与分析 (Discussion and Analysis)</w:t>
      </w:r>
    </w:p>
    <w:p>
      <w:pPr>
        <w:pStyle w:val="Heading2"/>
      </w:pPr>
      <w:r>
        <w:t>为什么当前结构化模型仍占优</w:t>
      </w:r>
    </w:p>
    <w:p>
      <w:pPr>
        <w:pStyle w:val="BodyText"/>
      </w:pPr>
      <w:r>
        <w:t>1. **样本选择效应**：共享子集通过高风险规则筛选，结构化信号浓度提升。</w:t>
      </w:r>
    </w:p>
    <w:p>
      <w:pPr>
        <w:pStyle w:val="BodyText"/>
      </w:pPr>
      <w:r>
        <w:t>2. **训练信号约束**：两阶段 LLM 的教师理由来自规则化模板，语义多样性不足。</w:t>
      </w:r>
    </w:p>
    <w:p>
      <w:pPr>
        <w:pStyle w:val="BodyText"/>
      </w:pPr>
      <w:r>
        <w:t>3. **决策头限制**：Stage-2 最终为二元动作比较，难充分利用复杂上下文。</w:t>
      </w:r>
    </w:p>
    <w:p>
      <w:pPr>
        <w:pStyle w:val="BodyText"/>
      </w:pPr>
      <w:r>
        <w:t>4. **模型规模与样本规模错配**：0.6B 在当前数据量下更易表现为“可解释但判别力有限”。</w:t>
      </w:r>
    </w:p>
    <w:p>
      <w:pPr>
        <w:pStyle w:val="BodyText"/>
      </w:pPr>
      <w:r>
        <w:t>5. **校准约束差异**：单阶段 LLM 与 GPT-5.2 在当前配置下表现为“高拒绝率换高召回”，难直接满足固定 RR 运营规则。</w:t>
      </w:r>
    </w:p>
    <w:p>
      <w:pPr>
        <w:pStyle w:val="Heading2"/>
      </w:pPr>
      <w:r>
        <w:t>与文献脉络的对应关系</w:t>
      </w:r>
    </w:p>
    <w:p>
      <w:pPr>
        <w:pStyle w:val="BodyText"/>
      </w:pPr>
      <w:r>
        <w:t>文献已显示文本软信息可提供增量价值 [10]-[17]，但增益高度依赖任务定义与评估口径。本文结果并不否定文本价值，而是说明在固定拒绝率约束下，文本模型增益需要更强训练策略与更细致校准才可能稳定体现；在全量分布口径下，结构化模型内部排序也会变化（xgboost_tabular 领先）。</w:t>
      </w:r>
    </w:p>
    <w:p>
      <w:pPr>
        <w:pStyle w:val="Heading2"/>
      </w:pPr>
      <w:r>
        <w:t>哪些方向更有前景</w:t>
      </w:r>
    </w:p>
    <w:p>
      <w:pPr>
        <w:pStyle w:val="BodyText"/>
      </w:pPr>
      <w:r>
        <w:t>1. **更高质量教师信号**：从规则模板升级到专家审阅理由，减少模式坍塌。</w:t>
      </w:r>
    </w:p>
    <w:p>
      <w:pPr>
        <w:pStyle w:val="BodyText"/>
      </w:pPr>
      <w:r>
        <w:t>2. **联合建模**：将结构化强信号与文本语义在同一判别头融合，而非简单串联。</w:t>
      </w:r>
    </w:p>
    <w:p>
      <w:pPr>
        <w:pStyle w:val="BodyText"/>
      </w:pPr>
      <w:r>
        <w:t>3. **校准优先**：引入温度缩放/分段校准与 top-k 约束，优先优化固定 RR 下的业务指标。</w:t>
      </w:r>
    </w:p>
    <w:p>
      <w:pPr>
        <w:pStyle w:val="BodyText"/>
      </w:pPr>
      <w:r>
        <w:t>4. **时序外推验证**：补充时间外推切分，验证跨年份稳定性。</w:t>
      </w:r>
    </w:p>
    <w:p>
      <w:pPr>
        <w:pStyle w:val="Heading2"/>
      </w:pPr>
      <w:r>
        <w:t>哪些方向前景有限</w:t>
      </w:r>
    </w:p>
    <w:p>
      <w:pPr>
        <w:pStyle w:val="BodyText"/>
      </w:pPr>
      <w:r>
        <w:t>1. 仅靠更复杂提示词而不改变训练信号质量，边际收益通常有限。</w:t>
      </w:r>
    </w:p>
    <w:p>
      <w:pPr>
        <w:pStyle w:val="BodyText"/>
      </w:pPr>
      <w:r>
        <w:t>2. 在无校准前提下直接将 LLM 作为主判，会放大运营波动与审核负担。</w:t>
      </w:r>
    </w:p>
    <w:p>
      <w:pPr>
        <w:pStyle w:val="BodyText"/>
      </w:pPr>
      <w:r>
        <w:t>3. 将“高拒绝率高召回”结果直接宣称为更优策略，会忽略业务约束与客户体验成本。</w:t>
      </w:r>
    </w:p>
    <w:p>
      <w:pPr>
        <w:pStyle w:val="Heading2"/>
      </w:pPr>
      <w:r>
        <w:t>威胁与有效性（Threats to Validity）</w:t>
      </w:r>
    </w:p>
    <w:p>
      <w:pPr>
        <w:pStyle w:val="BodyText"/>
      </w:pPr>
      <w:r>
        <w:t>1. **样本代表性限制**：主实验聚焦高风险子集，结论不直接代表全量客群；但该设置有助于回答“高风险审批”场景问题。</w:t>
      </w:r>
    </w:p>
    <w:p>
      <w:pPr>
        <w:pStyle w:val="BodyText"/>
      </w:pPr>
      <w:r>
        <w:t>2. **时序外推未完全验证**：当前以分层随机切分为主，尚未进行严格按时间滚动测试；因此跨周期稳定性仍需补充实验。</w:t>
      </w:r>
    </w:p>
    <w:p>
      <w:pPr>
        <w:pStyle w:val="BodyText"/>
      </w:pPr>
      <w:r>
        <w:t>3. **LLM 教师信号偏差**：两阶段数据由教师流程构造，若理由文本模式较单一，可能限制学生模型泛化。</w:t>
      </w:r>
    </w:p>
    <w:p>
      <w:pPr>
        <w:pStyle w:val="BodyText"/>
      </w:pPr>
      <w:r>
        <w:t>4. **文本字段历史缺失**：desc 在历史期间存在可用性差异，这会影响时间段之间的可比性。</w:t>
      </w:r>
    </w:p>
    <w:p>
      <w:pPr>
        <w:pStyle w:val="Heading1"/>
      </w:pPr>
      <w:r>
        <w:t>代码组织与可复现性 (Code Organization and Reproducibility)</w:t>
      </w:r>
    </w:p>
    <w:p>
      <w:pPr>
        <w:pStyle w:val="Heading2"/>
      </w:pPr>
      <w:r>
        <w:t>代码结构与职责映射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t>目录/脚本</w:t>
            </w:r>
          </w:p>
        </w:tc>
        <w:tc>
          <w:tcPr>
            <w:tcW w:type="dxa" w:w="5227"/>
          </w:tcPr>
          <w:p>
            <w:r>
              <w:t>职责</w:t>
            </w:r>
          </w:p>
        </w:tc>
      </w:tr>
      <w:tr>
        <w:tc>
          <w:tcPr>
            <w:tcW w:type="dxa" w:w="5227"/>
          </w:tcPr>
          <w:p>
            <w:r>
              <w:t>`workflow_common.py`</w:t>
            </w:r>
          </w:p>
        </w:tc>
        <w:tc>
          <w:tcPr>
            <w:tcW w:type="dxa" w:w="5227"/>
          </w:tcPr>
          <w:p>
            <w:r>
              <w:t>清洗、切分、阈值优化、统一指标函数</w:t>
            </w:r>
          </w:p>
        </w:tc>
      </w:tr>
      <w:tr>
        <w:tc>
          <w:tcPr>
            <w:tcW w:type="dxa" w:w="5227"/>
          </w:tcPr>
          <w:p>
            <w:r>
              <w:t>`ml_standalone/run_ml_pipeline.py`</w:t>
            </w:r>
          </w:p>
        </w:tc>
        <w:tc>
          <w:tcPr>
            <w:tcW w:type="dxa" w:w="5227"/>
          </w:tcPr>
          <w:p>
            <w:r>
              <w:t>传统 ML 训练、验证定阈、测试评估</w:t>
            </w:r>
          </w:p>
        </w:tc>
      </w:tr>
      <w:tr>
        <w:tc>
          <w:tcPr>
            <w:tcW w:type="dxa" w:w="5227"/>
          </w:tcPr>
          <w:p>
            <w:r>
              <w:t>`data_analysis_standalone/run_data_analysis_classifier.py`</w:t>
            </w:r>
          </w:p>
        </w:tc>
        <w:tc>
          <w:tcPr>
            <w:tcW w:type="dxa" w:w="5227"/>
          </w:tcPr>
          <w:p>
            <w:r>
              <w:t>数据分析规则化风险评分基线</w:t>
            </w:r>
          </w:p>
        </w:tc>
      </w:tr>
      <w:tr>
        <w:tc>
          <w:tcPr>
            <w:tcW w:type="dxa" w:w="5227"/>
          </w:tcPr>
          <w:p>
            <w:r>
              <w:t>`bert_standalone/run_bert_pipeline.py`</w:t>
            </w:r>
          </w:p>
        </w:tc>
        <w:tc>
          <w:tcPr>
            <w:tcW w:type="dxa" w:w="5227"/>
          </w:tcPr>
          <w:p>
            <w:r>
              <w:t>BERT embedding/finetune 训练与评估</w:t>
            </w:r>
          </w:p>
        </w:tc>
      </w:tr>
      <w:tr>
        <w:tc>
          <w:tcPr>
            <w:tcW w:type="dxa" w:w="5227"/>
          </w:tcPr>
          <w:p>
            <w:r>
              <w:t>`llm_standalone/run_llm_two_stage.py`</w:t>
            </w:r>
          </w:p>
        </w:tc>
        <w:tc>
          <w:tcPr>
            <w:tcW w:type="dxa" w:w="5227"/>
          </w:tcPr>
          <w:p>
            <w:r>
              <w:t>两阶段 LLM 数据构建、训练配置、推理评估</w:t>
            </w:r>
          </w:p>
        </w:tc>
      </w:tr>
      <w:tr>
        <w:tc>
          <w:tcPr>
            <w:tcW w:type="dxa" w:w="5227"/>
          </w:tcPr>
          <w:p>
            <w:r>
              <w:t>`llm_standalone/run_llm_one_stage.py`</w:t>
            </w:r>
          </w:p>
        </w:tc>
        <w:tc>
          <w:tcPr>
            <w:tcW w:type="dxa" w:w="5227"/>
          </w:tcPr>
          <w:p>
            <w:r>
              <w:t>单阶段 LLM 训练与推理评估</w:t>
            </w:r>
          </w:p>
        </w:tc>
      </w:tr>
      <w:tr>
        <w:tc>
          <w:tcPr>
            <w:tcW w:type="dxa" w:w="5227"/>
          </w:tcPr>
          <w:p>
            <w:r>
              <w:t>`llm_standalone/run_llm_two_stage_full_06b.ps1`</w:t>
            </w:r>
          </w:p>
        </w:tc>
        <w:tc>
          <w:tcPr>
            <w:tcW w:type="dxa" w:w="5227"/>
          </w:tcPr>
          <w:p>
            <w:r>
              <w:t>两阶段 LLM 一键流程脚本</w:t>
            </w:r>
          </w:p>
        </w:tc>
      </w:tr>
      <w:tr>
        <w:tc>
          <w:tcPr>
            <w:tcW w:type="dxa" w:w="5227"/>
          </w:tcPr>
          <w:p>
            <w:r>
              <w:t>`llm_standalone/run_llm_one_stage_full_06b.ps1`</w:t>
            </w:r>
          </w:p>
        </w:tc>
        <w:tc>
          <w:tcPr>
            <w:tcW w:type="dxa" w:w="5227"/>
          </w:tcPr>
          <w:p>
            <w:r>
              <w:t>单阶段 LLM 一键流程脚本</w:t>
            </w:r>
          </w:p>
        </w:tc>
      </w:tr>
      <w:tr>
        <w:tc>
          <w:tcPr>
            <w:tcW w:type="dxa" w:w="5227"/>
          </w:tcPr>
          <w:p>
            <w:r>
              <w:t>`6800paper/scripts/md_to_ieee_docx.py`</w:t>
            </w:r>
          </w:p>
        </w:tc>
        <w:tc>
          <w:tcPr>
            <w:tcW w:type="dxa" w:w="5227"/>
          </w:tcPr>
          <w:p>
            <w:r>
              <w:t>从 `6800main.md` 自动生成 IEEE 双栏 Word</w:t>
            </w:r>
          </w:p>
        </w:tc>
      </w:tr>
    </w:tbl>
    <w:p>
      <w:pPr>
        <w:pStyle w:val="Heading2"/>
      </w:pPr>
      <w:r>
        <w:t>一致性与复现实证</w:t>
      </w:r>
    </w:p>
    <w:p>
      <w:pPr>
        <w:pStyle w:val="BodyText"/>
      </w:pPr>
      <w:r>
        <w:t>关键结论可由三类文件复核：主结果表（output/doc/report_tables/*.csv）、模型评估报告（output/*/run_report.json）、LLM/GPT 推理输出（output/llm_*/*json）。 附录 A 给出具体文件清单。</w:t>
      </w:r>
    </w:p>
    <w:p>
      <w:pPr>
        <w:pStyle w:val="Heading2"/>
      </w:pPr>
      <w:r>
        <w:t>复现步骤（建议写入提交说明）</w:t>
      </w:r>
    </w:p>
    <w:p>
      <w:pPr>
        <w:pStyle w:val="BodyText"/>
      </w:pPr>
      <w:r>
        <w:t>1. 重建共享切分并运行 ML + DataAnalysis + BERT。</w:t>
      </w:r>
    </w:p>
    <w:p>
      <w:pPr>
        <w:pStyle w:val="BodyText"/>
      </w:pPr>
      <w:r>
        <w:t>2. 运行 run_llm_two_stage_full_06b.ps1 与 run_llm_one_stage_full_06b.ps1。</w:t>
      </w:r>
    </w:p>
    <w:p>
      <w:pPr>
        <w:pStyle w:val="BodyText"/>
      </w:pPr>
      <w:r>
        <w:t>3. 运行外部预测评估脚本并更新 gpt52_external_metrics.json。</w:t>
      </w:r>
    </w:p>
    <w:p>
      <w:pPr>
        <w:pStyle w:val="BodyText"/>
      </w:pPr>
      <w:r>
        <w:t>4. 运行全量口径 ML + DataAnalysis。</w:t>
      </w:r>
    </w:p>
    <w:p>
      <w:pPr>
        <w:pStyle w:val="BodyText"/>
      </w:pPr>
      <w:r>
        <w:t>5. 更新 6800main.md 后执行 md_to_ieee_docx.py 生成最终 IEEE 文档。</w:t>
      </w:r>
    </w:p>
    <w:p>
      <w:pPr>
        <w:pStyle w:val="Heading1"/>
      </w:pPr>
      <w:r>
        <w:t>结论 (Conclusion)</w:t>
      </w:r>
    </w:p>
    <w:p>
      <w:pPr>
        <w:pStyle w:val="BodyText"/>
      </w:pPr>
      <w:r>
        <w:t>本文在统一数据、统一切分、统一阈值流程下，基于“共享子集公平口径 + 全量业务口径”对传统模型、BERT、两阶段/单阶段 LLM 与外部 GPT-5.2 进行了系统比较。实验结果表明：</w:t>
      </w:r>
    </w:p>
    <w:p>
      <w:pPr>
        <w:pStyle w:val="BodyText"/>
      </w:pPr>
      <w:r>
        <w:t>1. 结构化模型（尤其 logistic_tabular 与 DataAnalysis）在固定拒绝率场景下仍更稳健。</w:t>
      </w:r>
    </w:p>
    <w:p>
      <w:pPr>
        <w:pStyle w:val="BodyText"/>
      </w:pPr>
      <w:r>
        <w:t>2. 两阶段 LLM 的阈值重标定可以显著提升召回，但不足以弥补整体判别差距；单阶段 LLM 与 GPT-5.2 当前主要通过高拒绝率获取高召回。</w:t>
      </w:r>
    </w:p>
    <w:p>
      <w:pPr>
        <w:pStyle w:val="BodyText"/>
      </w:pPr>
      <w:r>
        <w:t>3. 全量真实分布口径下 xgboost_tabular 综合最优，说明模型排序受样本分布与目标 RR 影响。</w:t>
      </w:r>
    </w:p>
    <w:p>
      <w:pPr>
        <w:pStyle w:val="BodyText"/>
      </w:pPr>
      <w:r>
        <w:t>4. 当前最可行的工程路线是“结构化主判 + LLM 解释辅助 + 人工复核联动”。</w:t>
      </w:r>
    </w:p>
    <w:p>
      <w:pPr>
        <w:pStyle w:val="BodyText"/>
      </w:pPr>
      <w:r>
        <w:t>从课程项目视角看，本文的主要价值不在于“追求单一最高分”，而在于建立与业务约束一致、与代码产物一致、可复现可审计的比较框架。该框架也可用于后续更大模型或更复杂融合方法的公平评估。</w:t>
      </w:r>
    </w:p>
    <w:p>
      <w:pPr>
        <w:pStyle w:val="Heading1"/>
      </w:pPr>
      <w:r>
        <w:t>参考文献 (References)</w:t>
      </w:r>
    </w:p>
    <w:p>
      <w:pPr>
        <w:pStyle w:val="BodyText"/>
      </w:pPr>
      <w:r>
        <w:t>[1] D. J. Hand and W. E. Henley, “Statistical Classification Methods in Consumer Credit Scoring: A Review,” *Journal of the Royal Statistical Society Series A: Statistics in Society*, vol. 160, no. 3, pp. 523-541, 1997, doi: 10.1111/j.1467-985X.1997.00078.x. [2] L. C. Thomas, “A survey of credit and behavioural scoring: forecasting financial risk of lending to consumers,” *International Journal of Forecasting*, vol. 16, no. 2, pp. 149-172, 2000, doi: 10.1016/S0169-2070(00)00034-0. [3] A. E. Khandani, A. J. Kim, and A. W. Lo, “Consumer credit-risk models via machine-learning algorithms,” *Journal of Banking &amp; Finance*, vol. 34, no. 11, pp. 2767-2787, 2010, doi: 10.1016/j.jbankfin.2010.06.001. [4] S. Lessmann, B. Baesens, H.-V. Seow, and L. C. Thomas, “Benchmarking state-of-the-art classification algorithms for credit scoring: An update of research,” *European Journal of Operational Research*, vol. 247, no. 1, pp. 124-136, 2015, doi: 10.1016/j.ejor.2015.05.030. [5] T. Chen and C. Guestrin, “XGBoost: A Scalable Tree Boosting System,” in *Proceedings of the 22nd ACM SIGKDD International Conference on Knowledge Discovery and Data Mining*, 2016, pp. 785-794, doi: 10.1145/2939672.2939785. [6] M. Lin, N. R. Prabhala, and S. Viswanathan, “Judging Borrowers by the Company They Keep: Friendship Networks and Information Asymmetry in Online Peer-to-Peer Lending,” *Management Science*, vol. 59, no. 1, pp. 17-35, 2013, doi: 10.1287/mnsc.1120.1560. [7] C. Serrano-Cinca, B. Gutiérrez-Nieto, and L. López-Palacios, “Determinants of Default in P2P Lending,” *PLOS ONE*, vol. 10, no. 10, p. e0139427, 2015, doi: 10.1371/journal.pone.0139427. [8] R. Emekter, Y. Tu, B. Jirasakuldech, and M. Lu, “Evaluating credit risk and loan performance in online Peer-to-Peer (P2P) lending,” *Applied Economics*, vol. 47, no. 1, pp. 54-70, 2015, doi: 10.1080/00036846.2014.962222. [9] R. Iyer, A. I. Khwaja, E. F. P. Luttmer, and K. Shue, “Screening Peers Softly: Inferring the Quality of Small Borrowers,” *Management Science*, vol. 62, no. 6, pp. 1554-1577, 2016, doi: 10.1287/mnsc.2015.2181. [10] G. Dorfleitner, C. Priberny, S. Schuster, J. Stoiber, M. Weber, I. de Castro, and J. Kammler, “Description-text related soft information in peer-to-peer lending - Evidence from two leading European platforms,” *Journal of Banking &amp; Finance*, vol. 64, pp. 169-187, 2016, doi: 10.1016/j.jbankfin.2015.11.009. [11] C. Jiang, Z. Wang, R. Wang, and Y. Ding, “Loan default prediction by combining soft information extracted from descriptive text in online peer-to-peer lending,” *Annals of Operations Research*, vol. 266, no. 1-2, pp. 511-529, 2018, doi: 10.1007/s10479-017-2668-z. [12] J. Yao, J. Chen, J. Wei, Y. Chen, and S. Yang, “The relationship between soft information in loan titles and online peer-to-peer lending: evidence from RenRenDai platform,” *Electronic Commerce Research*, vol. 19, no. 1, pp. 111-129, 2019, doi: 10.1007/s10660-018-9293-z. [13] C. Wang, W. Zhang, X. Zhao, and J. Wang, “Soft information in online peer-to-peer lending: Evidence from a leading platform in China,” *Electronic Commerce Research and Applications*, vol. 36, p. 100873, 2019, doi: 10.1016/j.elerap.2019.100873. [14] Y. Xia, L. He, Y. Li, N. Liu, and Y. Ding, “Predicting loan default in peer-to-peer lending using narrative data,” *Journal of Forecasting*, vol. 39, no. 2, pp. 260-280, 2020, doi: 10.1002/for.2625. [15] Z. Wang, C. Jiang, H. Zhao, and Y. Ding, “Mining Semantic Soft Factors for Credit Risk Evaluation in Peer-to-Peer Lending,” *Journal of Management Information Systems*, vol. 37, no. 1, pp. 282-308, 2020, doi: 10.1080/07421222.2019.1705513. [16] J. Kriebel and L. Stitz, “Credit default prediction from user-generated text in peer-to-peer lending using deep learning,” *European Journal of Operational Research*, vol. 302, no. 1, pp. 309-323, 2022, doi: 10.1016/j.ejor.2021.12.024. [17] M. Siering, “Peer-to-Peer (P2P) Lending Risk Management: Assessing Credit Risk on Social Lending Platforms Using Textual Factors,” *ACM Transactions on Management Information Systems*, vol. 14, no. 3, pp. 1-19, 2023, doi: 10.1145/3589003. [18] A. Vaswani *et al*., “Attention Is All You Need,” in *Advances in Neural Information Processing Systems 30*, 2017, doi: 10.48550/arXiv.1706.03762. [19] J. Devlin, M.-W. Chang, K. Lee, and K. Toutanova, “BERT: Pre-training of Deep Bidirectional Transformers for Language Understanding,” in *Proceedings of NAACL-HLT*, 2019, pp. 4171-4186, doi: 10.18653/v1/N19-1423. [20] E. J. Hu *et al*., “LoRA: Low-Rank Adaptation of Large Language Models,” arXiv:2106.09685, 2021, doi: 10.48550/arXiv.2106.09685. [21] OpenAI *et al*., “GPT-4 Technical Report,” arXiv:2303.08774, 2023, doi: 10.48550/arXiv.2303.08774. [22] T. Berg, V. Burg, A. Gombović, and M. Puri, “On the Rise of FinTechs: Credit Scoring Using Digital Footprints,” *The Review of Financial Studies*, vol. 33, no. 7, pp. 2845-2897, 2020, doi: 10.1093/rfs/hhz099. [23] LendingClub, “LendingClub Statistics and Loan Data,” [Online]. Available: https://www.lendingclub.com/info/download-data.action (archived: https://web.archive.org/web/20110816083005/https://www.lendingclub.com/info/download-data.action). [Accessed: Feb. 21, 2026].</w:t>
      </w:r>
    </w:p>
    <w:p>
      <w:pPr>
        <w:pStyle w:val="Heading1"/>
      </w:pPr>
      <w:r>
        <w:t>附录 A：可复现产物 (Appendix A)</w:t>
      </w:r>
    </w:p>
    <w:p>
      <w:pPr>
        <w:pStyle w:val="bulletlist"/>
      </w:pPr>
      <w:r>
        <w:t>数据与切分：data/shared/shared_subset.csv, data/shared/shared_subset.summary.json, data/shared/splits/stratified/split_summary.json</w:t>
      </w:r>
    </w:p>
    <w:p>
      <w:pPr>
        <w:pStyle w:val="bulletlist"/>
      </w:pPr>
      <w:r>
        <w:t>主模型报告：output/ml_standalone/run_report.json, output/data_analysis_standalone/run_report.json, output/bert_standalone/run_report.json</w:t>
      </w:r>
    </w:p>
    <w:p>
      <w:pPr>
        <w:pStyle w:val="bulletlist"/>
      </w:pPr>
      <w:r>
        <w:t>LLM/GPT 结果：output/llm_two_stage_subset_full_06b/infer/stage2_action_predictions_full.json, output/llm_one_stage_subset_full_06b/infer/stage_action_direct_predictions_full.json, output/llm_two_stage_subset_full_06b/infer/gpt52_external_metrics.json</w:t>
      </w:r>
    </w:p>
    <w:p>
      <w:pPr>
        <w:pStyle w:val="bulletlist"/>
      </w:pPr>
      <w:r>
        <w:t>全量口径报告：output/ml_standalone_full_actual_rr/run_report.json, output/data_analysis_standalone_full_actual_rr/run_report.json</w:t>
      </w:r>
    </w:p>
    <w:p>
      <w:pPr>
        <w:pStyle w:val="bulletlist"/>
      </w:pPr>
      <w:r>
        <w:t>论文表格数据：output/doc/report_tables/main_results.csv, output/doc/report_tables/reject_rate_sweep.csv, output/doc/report_tables/llm_threshold_sensitivity.csv, output/doc/report_tables/bootstrap_ci_selected_models.csv</w:t>
      </w: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720" w:num="2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7B1AF66" w14:textId="77777777" w:rsidR="00F12284" w:rsidRDefault="00F12284" w:rsidP="001A3B3D">
      <w:r>
        <w:separator/>
      </w:r>
    </w:p>
  </w:endnote>
  <w:endnote w:type="continuationSeparator" w:id="0">
    <w:p w14:paraId="4E8FDCAD" w14:textId="77777777" w:rsidR="00F12284" w:rsidRDefault="00F12284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2221F62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09A2DC3" w14:textId="77777777" w:rsidR="00F12284" w:rsidRDefault="00F12284" w:rsidP="001A3B3D">
      <w:r>
        <w:separator/>
      </w:r>
    </w:p>
  </w:footnote>
  <w:footnote w:type="continuationSeparator" w:id="0">
    <w:p w14:paraId="77E5FDEE" w14:textId="77777777" w:rsidR="00F12284" w:rsidRDefault="00F12284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2024-07-16T13:39:00Z</dcterms:created>
  <dcterms:modified xsi:type="dcterms:W3CDTF">2024-07-16T13:39:00Z</dcterms:modified>
</cp:coreProperties>
</file>