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8E544B0" w14:textId="77777777" w:rsidR="009303D9" w:rsidRDefault="009303D9" w:rsidP="006347CF">
      <w:pPr>
        <w:pStyle w:val="papertitle"/>
        <w:spacing w:before="5pt" w:beforeAutospacing="1" w:after="5pt" w:afterAutospacing="1"/>
      </w:pPr>
      <w:r>
        <w:t>基于双口径评估的信贷风控顶点项目：结构化模型与文本模型的可落地比较</w:t>
      </w:r>
    </w:p>
    <w:p w14:paraId="517AC20D" w14:textId="1F2DD9DF" w:rsidR="00D7522C" w:rsidRDefault="00D7522C" w:rsidP="00156B74">
      <w:pPr>
        <w:pStyle w:val="Author"/>
        <w:spacing w:before="5pt" w:beforeAutospacing="1" w:after="5pt" w:afterAutospacing="1"/>
        <w:rPr>
          <w:sz w:val="16"/>
          <w:szCs w:val="16"/>
        </w:rPr>
      </w:pPr>
      <w:r/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7DC3BD49" w14:textId="77777777" w:rsidR="001A3B3D" w:rsidRPr="006347CF" w:rsidRDefault="009303D9" w:rsidP="006347CF">
      <w:pPr>
        <w:pStyle w:val="Author"/>
        <w:spacing w:before="5pt" w:beforeAutospacing="1"/>
        <w:rPr>
          <w:sz w:val="18"/>
          <w:szCs w:val="18"/>
        </w:rPr>
        <w:sectPr w:rsidR="001A3B3D" w:rsidRPr="006347CF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  <w:r>
        <w:t>作者：&lt;姓名/学号&gt;</w:t>
        <w:br/>
        <w:t>课程：DSCI 7000 Capstone</w:t>
        <w:br/>
        <w:t>日期：2026-02-21</w:t>
      </w:r>
    </w:p>
    <w:p w14:paraId="59419620" w14:textId="77777777" w:rsidR="00D72D06" w:rsidRPr="005B520E" w:rsidRDefault="00D72D06"/>
    <w:p w14:paraId="44292629" w14:textId="77777777" w:rsidR="009303D9" w:rsidRPr="005B520E" w:rsidRDefault="009303D9">
      <w:pPr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720" w:num="2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267708E4" w14:textId="77777777" w:rsidR="004D72B5" w:rsidRDefault="009303D9" w:rsidP="00972203">
      <w:pPr>
        <w:pStyle w:val="Abstract"/>
        <w:rPr>
          <w:i/>
          <w:iCs/>
        </w:rPr>
      </w:pPr>
      <w:r>
        <w:t>摘要—本报告基于 LendingClub 历史数据构建信贷风险评估闭环，重点是可复现执行而非方法堆叠。研究采用双口径评估：口径 A 在共享高风险子集（n=7108）下固定拒绝率（RR=35%）进行公平横评，口径 B 在全量样本（n=123,202）下按实际违约率目标（RR=0.1533）进行部署评估。结果显示，口径 A 中 DataAnalysis 与 ML(logistic_tabular) 最稳健，口径 B 中 ML(xgboost_tabular) 综合最优。LLM 两阶段具备解释价值但主判性能仍弱，单阶段 LLM 与 GPT-5.2 主要依赖高拒绝率换取高召回，暂不满足公平主榜比较约束。</w:t>
      </w:r>
    </w:p>
    <w:p w14:paraId="3F9CDE0E" w14:textId="77777777" w:rsidR="009303D9" w:rsidRPr="004D72B5" w:rsidRDefault="004D72B5" w:rsidP="00972203">
      <w:pPr>
        <w:pStyle w:val="Keywords"/>
      </w:pPr>
      <w:r>
        <w:t>关键词—顶点项目, 信用风险, LendingClub, 双口径评估, 固定拒绝率, 可复现性</w:t>
      </w:r>
    </w:p>
    <w:p>
      <w:pPr>
        <w:pStyle w:val="Heading1"/>
      </w:pPr>
      <w:r>
        <w:t>引言</w:t>
      </w:r>
    </w:p>
    <w:p>
      <w:pPr>
        <w:pStyle w:val="Heading2"/>
      </w:pPr>
      <w:r>
        <w:t>项目背景</w:t>
      </w:r>
    </w:p>
    <w:p>
      <w:pPr>
        <w:pStyle w:val="BodyText"/>
      </w:pPr>
      <w:r>
        <w:t>消费信贷风险评估长期依赖结构化变量（利率、信用等级、收入、负债比）构建判别模型 [1], [2]。在 P2P 借贷场景中，借款描述等软信息也被证明具有增量价值 [3], [4]。随着 BERT 与 LLM 的发展 [5], [6]，文本建模能力显著提升，但在风控业务中，模型优劣不能只看离线分数，还必须满足阈值可控、拒绝率可管、误放损失可解释等运营约束。</w:t>
      </w:r>
    </w:p>
    <w:p>
      <w:pPr>
        <w:pStyle w:val="Heading2"/>
      </w:pPr>
      <w:r>
        <w:t>报告定位与写作重点</w:t>
      </w:r>
    </w:p>
    <w:p>
      <w:pPr>
        <w:pStyle w:val="BodyText"/>
      </w:pPr>
      <w:r>
        <w:t>本报告以项目执行质量为主线，强调“方案设计-实验评估-结果解释-展示落地”的闭环，并将结论映射到可验证的代码与数据产物。</w:t>
      </w:r>
    </w:p>
    <w:p>
      <w:pPr>
        <w:pStyle w:val="Heading2"/>
      </w:pPr>
      <w:r>
        <w:t>本报告的实际贡献</w:t>
      </w:r>
    </w:p>
    <w:p>
      <w:pPr>
        <w:pStyle w:val="BodyText"/>
      </w:pPr>
      <w:r>
        <w:t>1. 建立双口径评估框架，分离“公平横评”与“真实分布部署”结论。</w:t>
      </w:r>
    </w:p>
    <w:p>
      <w:pPr>
        <w:pStyle w:val="BodyText"/>
      </w:pPr>
      <w:r>
        <w:t>2. 给出跨模型家族（ML/DataAnalysis/BERT/LLM）的统一阈值流程与比较边界。</w:t>
      </w:r>
    </w:p>
    <w:p>
      <w:pPr>
        <w:pStyle w:val="BodyText"/>
      </w:pPr>
      <w:r>
        <w:t>3. 形成可审计的代码、数据与文档交付链。</w:t>
      </w:r>
    </w:p>
    <w:p>
      <w:pPr>
        <w:pStyle w:val="Heading1"/>
      </w:pPr>
      <w:r>
        <w:t>研究范围与重点</w:t>
      </w:r>
    </w:p>
    <w:p>
      <w:pPr>
        <w:pStyle w:val="BodyText"/>
      </w:pPr>
      <w:r>
        <w:t>本报告仅保留与结论直接相关的技术内容，重点分析统一阈值协议下的跨模型可比性，以及双口径排序差异的部署含义。</w:t>
      </w:r>
    </w:p>
    <w:p>
      <w:pPr>
        <w:pStyle w:val="Heading1"/>
      </w:pPr>
      <w:r>
        <w:t>研究问题、目标与假说</w:t>
      </w:r>
    </w:p>
    <w:p>
      <w:pPr>
        <w:pStyle w:val="Heading2"/>
      </w:pPr>
      <w:r>
        <w:t>研究问题</w:t>
      </w:r>
    </w:p>
    <w:p>
      <w:pPr>
        <w:pStyle w:val="BodyText"/>
      </w:pPr>
      <w:r>
        <w:t>RQ1：在统一数据与阈值流程下，结构化模型、BERT、LLM 的主判表现如何比较？ RQ2：固定拒绝率约束是否改变模型排序？ RQ3：LLM 在当前工程条件下更适合主判还是辅助解释？ RQ4：共享子集结论是否能外推到全量真实分布？</w:t>
      </w:r>
    </w:p>
    <w:p>
      <w:pPr>
        <w:pStyle w:val="Heading2"/>
      </w:pPr>
      <w:r>
        <w:t>研究目标</w:t>
      </w:r>
    </w:p>
    <w:p>
      <w:pPr>
        <w:pStyle w:val="BodyText"/>
      </w:pPr>
      <w:r>
        <w:t>1. 形成跨模型家族的公平比较基线。</w:t>
      </w:r>
    </w:p>
    <w:p>
      <w:pPr>
        <w:pStyle w:val="BodyText"/>
      </w:pPr>
      <w:r>
        <w:t>2. 形成“可横评 + 可部署参考”的双口径结果。</w:t>
      </w:r>
    </w:p>
    <w:p>
      <w:pPr>
        <w:pStyle w:val="BodyText"/>
      </w:pPr>
      <w:r>
        <w:t>3. 形成可直接用于项目展示的证据链。</w:t>
      </w:r>
    </w:p>
    <w:p>
      <w:pPr>
        <w:pStyle w:val="Heading2"/>
      </w:pPr>
      <w:r>
        <w:t>可检验假说</w:t>
      </w:r>
    </w:p>
    <w:p>
      <w:pPr>
        <w:pStyle w:val="BodyText"/>
      </w:pPr>
      <w:r>
        <w:t>H1：共享高风险子集上，结构化强信号模型将整体优于文本模型。 H2：若缺乏拒绝率校准，LLM 可能通过高拒绝率获得高召回。 H3：切换到全量真实分布后，模型排序将发生变化。</w:t>
      </w:r>
    </w:p>
    <w:p>
      <w:pPr>
        <w:pStyle w:val="Heading2"/>
      </w:pPr>
      <w:r>
        <w:t>研究问题与评估维度映射</w:t>
      </w:r>
    </w:p>
    <w:p>
      <w:pPr>
        <w:pStyle w:val="BodyText"/>
      </w:pPr>
      <w:r>
        <w:t>为避免“问题定义”和“结果展示”脱节，本项目将研究问题直接映射到可评分的评估维度：</w:t>
      </w:r>
    </w:p>
    <w:p>
      <w:pPr>
        <w:pStyle w:val="BodyText"/>
      </w:pPr>
      <w:r>
        <w:t>1. RQ1 与 H1 对应“文献与方法完整性”维度：是否在统一流程下给出跨模型家族的可比结论。</w:t>
      </w:r>
    </w:p>
    <w:p>
      <w:pPr>
        <w:pStyle w:val="BodyText"/>
      </w:pPr>
      <w:r>
        <w:t>2. RQ2 与 H2 对应“实证质量”维度：是否明确拒绝率约束、阈值流程及公平比较边界。</w:t>
      </w:r>
    </w:p>
    <w:p>
      <w:pPr>
        <w:pStyle w:val="BodyText"/>
      </w:pPr>
      <w:r>
        <w:t>3. RQ3 对应“分析深度”维度：是否区分主判能力与解释能力，并给出可执行的角色分工。</w:t>
      </w:r>
    </w:p>
    <w:p>
      <w:pPr>
        <w:pStyle w:val="BodyText"/>
      </w:pPr>
      <w:r>
        <w:t>4. RQ4 与 H3 对应“结论外推边界”维度：是否通过双口径显示排序变化，而非将单一口径直接泛化。</w:t>
      </w:r>
    </w:p>
    <w:p>
      <w:pPr>
        <w:pStyle w:val="BodyText"/>
      </w:pPr>
      <w:r>
        <w:t>该映射关系使后续章节形成一致结构：方法章节说明如何保证可比性，结果章节给出量化证据，讨论章节给出部署决策和边界说明。</w:t>
      </w:r>
    </w:p>
    <w:p>
      <w:pPr>
        <w:pStyle w:val="Heading1"/>
      </w:pPr>
      <w:r>
        <w:t>背景与范围界定</w:t>
      </w:r>
    </w:p>
    <w:p>
      <w:pPr>
        <w:pStyle w:val="Heading2"/>
      </w:pPr>
      <w:r>
        <w:t>最小必要文献脉络</w:t>
      </w:r>
    </w:p>
    <w:p>
      <w:pPr>
        <w:pStyle w:val="BodyText"/>
      </w:pPr>
      <w:r>
        <w:t>经典信用评分研究奠定了评估范式与业务指标体系 [1], [2]。P2P 研究显示软信息在信息不对称场景下可提供增量价值 [3], [4]。深度文本模型和大模型提升了语义理解能力 [5], [6]，但在金融场景中仍需遵循稳定性、可解释与合规约束 [7], [8]。</w:t>
      </w:r>
    </w:p>
    <w:p>
      <w:pPr>
        <w:pStyle w:val="Heading2"/>
      </w:pPr>
      <w:r>
        <w:t>本项目范围与边界</w:t>
      </w:r>
    </w:p>
    <w:p>
      <w:pPr>
        <w:pStyle w:val="BodyText"/>
      </w:pPr>
      <w:r>
        <w:t>本项目仅覆盖违约风险识别，不覆盖：</w:t>
      </w:r>
    </w:p>
    <w:p>
      <w:pPr>
        <w:pStyle w:val="BodyText"/>
      </w:pPr>
      <w:r>
        <w:t>1. 反欺诈检测与身份核验。</w:t>
      </w:r>
    </w:p>
    <w:p>
      <w:pPr>
        <w:pStyle w:val="BodyText"/>
      </w:pPr>
      <w:r>
        <w:t>2. 贷后催收策略优化。</w:t>
      </w:r>
    </w:p>
    <w:p>
      <w:pPr>
        <w:pStyle w:val="BodyText"/>
      </w:pPr>
      <w:r>
        <w:t>3. 宏观压力测试与资产组合管理。</w:t>
      </w:r>
    </w:p>
    <w:p>
      <w:pPr>
        <w:pStyle w:val="Heading2"/>
      </w:pPr>
      <w:r>
        <w:t>相关工作比较（按主题）</w:t>
      </w:r>
    </w:p>
    <w:p>
      <w:pPr>
        <w:pStyle w:val="BodyText"/>
      </w:pPr>
      <w:r>
        <w:t>围绕本项目问题，可将相关研究分为三类，并与本项目定位形成对照：</w:t>
      </w:r>
    </w:p>
    <w:p>
      <w:pPr>
        <w:pStyle w:val="BodyText"/>
      </w:pPr>
      <w:r>
        <w:t>1. **经典信用评分范式**：传统研究强调结构化变量与统计判别稳定性 [1], [2]。本项目继承该范式，在口径 A/B 中均以统一阈值流程进行比较，确保不同模型结果可对齐。</w:t>
      </w:r>
    </w:p>
    <w:p>
      <w:pPr>
        <w:pStyle w:val="BodyText"/>
      </w:pPr>
      <w:r>
        <w:t>2. **P2P 软信息利用路线**：既有研究证明借款描述可提供增量信息 [3], [4]。本项目并未假设文本必然优于结构化特征，而是把文本模型放在统一拒绝率约束下检验其真实边际贡献。</w:t>
      </w:r>
    </w:p>
    <w:p>
      <w:pPr>
        <w:pStyle w:val="BodyText"/>
      </w:pPr>
      <w:r>
        <w:t>3. **深度文本与大模型路线**：BERT 与参数高效微调方法提升了文本表示能力 [5], [6]，大模型带来更强语义解释能力 [7]。本项目结论是：解释能力与主判能力需拆分评估，避免将“可解释”直接等同于“可替代主判”。</w:t>
      </w:r>
    </w:p>
    <w:p>
      <w:pPr>
        <w:pStyle w:val="BodyText"/>
      </w:pPr>
      <w:r>
        <w:t>该主题化比较对应本报告的核心定位：不是再做一次方法罗列，而是在统一业务约束下回答“哪些方法在当前场景可部署、哪些仅适合作为辅助层”。</w:t>
      </w:r>
    </w:p>
    <w:p>
      <w:pPr>
        <w:pStyle w:val="Heading2"/>
      </w:pPr>
      <w:r>
        <w:t>既有研究局限与本项目回应</w:t>
      </w:r>
    </w:p>
    <w:p>
      <w:pPr>
        <w:pStyle w:val="BodyText"/>
      </w:pPr>
      <w:r>
        <w:t>在综合 [1]-[8] 的研究脉络后，可识别出四类与工程落地直接相关的常见局限：</w:t>
      </w:r>
    </w:p>
    <w:p>
      <w:pPr>
        <w:pStyle w:val="BodyText"/>
      </w:pPr>
      <w:r>
        <w:t>1. 很多研究以通用分类指标为主，较少在固定拒绝率约束下进行公平比较。</w:t>
      </w:r>
    </w:p>
    <w:p>
      <w:pPr>
        <w:pStyle w:val="BodyText"/>
      </w:pPr>
      <w:r>
        <w:t>2. 软信息研究常集中于特定数据切片，结论对全量业务分布的外推边界不够明确。</w:t>
      </w:r>
    </w:p>
    <w:p>
      <w:pPr>
        <w:pStyle w:val="BodyText"/>
      </w:pPr>
      <w:r>
        <w:t>3. 深度文本或大模型研究强调语义能力，但对阈值稳定性与拒绝率偏移讨论不足。</w:t>
      </w:r>
    </w:p>
    <w:p>
      <w:pPr>
        <w:pStyle w:val="BodyText"/>
      </w:pPr>
      <w:r>
        <w:t>4. 缺少跨模型家族、同协议下的统一比较框架，容易出现“样本不一致比较”。</w:t>
      </w:r>
    </w:p>
    <w:p>
      <w:pPr>
        <w:pStyle w:val="BodyText"/>
      </w:pPr>
      <w:r>
        <w:t>本项目对应的改进策略如下：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既有局限</w:t>
            </w:r>
          </w:p>
        </w:tc>
        <w:tc>
          <w:tcPr>
            <w:tcW w:type="dxa" w:w="3485"/>
          </w:tcPr>
          <w:p>
            <w:r>
              <w:t>本项目回应</w:t>
            </w:r>
          </w:p>
        </w:tc>
        <w:tc>
          <w:tcPr>
            <w:tcW w:type="dxa" w:w="3485"/>
          </w:tcPr>
          <w:p>
            <w:r>
              <w:t>证据位置</w:t>
            </w:r>
          </w:p>
        </w:tc>
      </w:tr>
      <w:tr>
        <w:tc>
          <w:tcPr>
            <w:tcW w:type="dxa" w:w="3485"/>
          </w:tcPr>
          <w:p>
            <w:r>
              <w:t>指标侧重通用分类，缺少拒绝率约束</w:t>
            </w:r>
          </w:p>
        </w:tc>
        <w:tc>
          <w:tcPr>
            <w:tcW w:type="dxa" w:w="3485"/>
          </w:tcPr>
          <w:p>
            <w:r>
              <w:t>采用双口径 + 目标拒绝率评估协议</w:t>
            </w:r>
          </w:p>
        </w:tc>
        <w:tc>
          <w:tcPr>
            <w:tcW w:type="dxa" w:w="3485"/>
          </w:tcPr>
          <w:p>
            <w:r>
              <w:t>`V.C`, `VII.B`, `VII.J`</w:t>
            </w:r>
          </w:p>
        </w:tc>
      </w:tr>
      <w:tr>
        <w:tc>
          <w:tcPr>
            <w:tcW w:type="dxa" w:w="3485"/>
          </w:tcPr>
          <w:p>
            <w:r>
              <w:t>结论依赖局部样本，外推不清晰</w:t>
            </w:r>
          </w:p>
        </w:tc>
        <w:tc>
          <w:tcPr>
            <w:tcW w:type="dxa" w:w="3485"/>
          </w:tcPr>
          <w:p>
            <w:r>
              <w:t>同时报告共享子集与全量分布结果</w:t>
            </w:r>
          </w:p>
        </w:tc>
        <w:tc>
          <w:tcPr>
            <w:tcW w:type="dxa" w:w="3485"/>
          </w:tcPr>
          <w:p>
            <w:r>
              <w:t>`V.A`, `VII.A`, `VII.C`, `VII.I`</w:t>
            </w:r>
          </w:p>
        </w:tc>
      </w:tr>
      <w:tr>
        <w:tc>
          <w:tcPr>
            <w:tcW w:type="dxa" w:w="3485"/>
          </w:tcPr>
          <w:p>
            <w:r>
              <w:t>文本模型解释与主判角色混淆</w:t>
            </w:r>
          </w:p>
        </w:tc>
        <w:tc>
          <w:tcPr>
            <w:tcW w:type="dxa" w:w="3485"/>
          </w:tcPr>
          <w:p>
            <w:r>
              <w:t>区分主判层与辅助解释层职责</w:t>
            </w:r>
          </w:p>
        </w:tc>
        <w:tc>
          <w:tcPr>
            <w:tcW w:type="dxa" w:w="3485"/>
          </w:tcPr>
          <w:p>
            <w:r>
              <w:t>`VII.K`, `VIII.C`, `IX`</w:t>
            </w:r>
          </w:p>
        </w:tc>
      </w:tr>
      <w:tr>
        <w:tc>
          <w:tcPr>
            <w:tcW w:type="dxa" w:w="3485"/>
          </w:tcPr>
          <w:p>
            <w:r>
              <w:t>跨家族比较口径不统一</w:t>
            </w:r>
          </w:p>
        </w:tc>
        <w:tc>
          <w:tcPr>
            <w:tcW w:type="dxa" w:w="3485"/>
          </w:tcPr>
          <w:p>
            <w:r>
              <w:t>统一切分、统一阈值流程、统一指标定义</w:t>
            </w:r>
          </w:p>
        </w:tc>
        <w:tc>
          <w:tcPr>
            <w:tcW w:type="dxa" w:w="3485"/>
          </w:tcPr>
          <w:p>
            <w:r>
              <w:t>`V.E`, `V.F`, `VI.B`</w:t>
            </w:r>
          </w:p>
        </w:tc>
      </w:tr>
    </w:tbl>
    <w:p>
      <w:pPr>
        <w:pStyle w:val="BodyText"/>
      </w:pPr>
      <w:r>
        <w:t>这种“局限-回应-证据”的组织方式，确保文献综述不止于描述已有工作，而是明确本项目如何在现有工程条件下补足关键缺口。</w:t>
      </w:r>
    </w:p>
    <w:p>
      <w:pPr>
        <w:pStyle w:val="Heading1"/>
      </w:pPr>
      <w:r>
        <w:t>方法与实现方案</w:t>
      </w:r>
    </w:p>
    <w:p>
      <w:pPr>
        <w:pStyle w:val="Heading2"/>
      </w:pPr>
      <w:r>
        <w:t>数据与口径设计</w:t>
      </w:r>
    </w:p>
    <w:p>
      <w:pPr>
        <w:pStyle w:val="BodyText"/>
      </w:pPr>
      <w:r>
        <w:t>原始数据来自 LendingClub 历史公开数据 [9]。清洗后可用样本 123,202 条；共享高风险子集 7,108 条。</w:t>
      </w:r>
    </w:p>
    <w:p>
      <w:pPr>
        <w:pStyle w:val="BodyText"/>
      </w:pPr>
      <w:r>
        <w:t>两套口径：</w:t>
      </w:r>
    </w:p>
    <w:p>
      <w:pPr>
        <w:pStyle w:val="BodyText"/>
      </w:pPr>
      <w:r>
        <w:t>1. **口径 A（公平横评）**：data/shared/shared_subset.csv，train_fit=4548，validation=1138，test=1422，目标 RR=35%。</w:t>
      </w:r>
    </w:p>
    <w:p>
      <w:pPr>
        <w:pStyle w:val="BodyText"/>
      </w:pPr>
      <w:r>
        <w:t>2. **口径 B（业务分布）**：ml_full_processed.csv，train_fit=78848，validation=19713，test=24641，目标 RR=0.15327673252057597。</w:t>
      </w:r>
    </w:p>
    <w:p>
      <w:pPr>
        <w:pStyle w:val="Heading2"/>
      </w:pPr>
      <w:r>
        <w:t>模型族与实现路径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模型族</w:t>
            </w:r>
          </w:p>
        </w:tc>
        <w:tc>
          <w:tcPr>
            <w:tcW w:type="dxa" w:w="3485"/>
          </w:tcPr>
          <w:p>
            <w:r>
              <w:t>代表脚本</w:t>
            </w:r>
          </w:p>
        </w:tc>
        <w:tc>
          <w:tcPr>
            <w:tcW w:type="dxa" w:w="3485"/>
          </w:tcPr>
          <w:p>
            <w:r>
              <w:t>说明</w:t>
            </w:r>
          </w:p>
        </w:tc>
      </w:tr>
      <w:tr>
        <w:tc>
          <w:tcPr>
            <w:tcW w:type="dxa" w:w="3485"/>
          </w:tcPr>
          <w:p>
            <w:r>
              <w:t>ML</w:t>
            </w:r>
          </w:p>
        </w:tc>
        <w:tc>
          <w:tcPr>
            <w:tcW w:type="dxa" w:w="3485"/>
          </w:tcPr>
          <w:p>
            <w:r>
              <w:t>`ml_standalone/run_ml_pipeline.py`</w:t>
            </w:r>
          </w:p>
        </w:tc>
        <w:tc>
          <w:tcPr>
            <w:tcW w:type="dxa" w:w="3485"/>
          </w:tcPr>
          <w:p>
            <w:r>
              <w:t>Logistic / XGBoost</w:t>
            </w:r>
          </w:p>
        </w:tc>
      </w:tr>
      <w:tr>
        <w:tc>
          <w:tcPr>
            <w:tcW w:type="dxa" w:w="3485"/>
          </w:tcPr>
          <w:p>
            <w:r>
              <w:t>DataAnalysis</w:t>
            </w:r>
          </w:p>
        </w:tc>
        <w:tc>
          <w:tcPr>
            <w:tcW w:type="dxa" w:w="3485"/>
          </w:tcPr>
          <w:p>
            <w:r>
              <w:t>`data_analysis_standalone/run_data_analysis_classifier.py`</w:t>
            </w:r>
          </w:p>
        </w:tc>
        <w:tc>
          <w:tcPr>
            <w:tcW w:type="dxa" w:w="3485"/>
          </w:tcPr>
          <w:p>
            <w:r>
              <w:t>规则化风险画像基线</w:t>
            </w:r>
          </w:p>
        </w:tc>
      </w:tr>
      <w:tr>
        <w:tc>
          <w:tcPr>
            <w:tcW w:type="dxa" w:w="3485"/>
          </w:tcPr>
          <w:p>
            <w:r>
              <w:t>BERT</w:t>
            </w:r>
          </w:p>
        </w:tc>
        <w:tc>
          <w:tcPr>
            <w:tcW w:type="dxa" w:w="3485"/>
          </w:tcPr>
          <w:p>
            <w:r>
              <w:t>`bert_standalone/run_bert_pipeline.py`</w:t>
            </w:r>
          </w:p>
        </w:tc>
        <w:tc>
          <w:tcPr>
            <w:tcW w:type="dxa" w:w="3485"/>
          </w:tcPr>
          <w:p>
            <w:r>
              <w:t>Embedding + Finetune</w:t>
            </w:r>
          </w:p>
        </w:tc>
      </w:tr>
      <w:tr>
        <w:tc>
          <w:tcPr>
            <w:tcW w:type="dxa" w:w="3485"/>
          </w:tcPr>
          <w:p>
            <w:r>
              <w:t>LLM 两阶段</w:t>
            </w:r>
          </w:p>
        </w:tc>
        <w:tc>
          <w:tcPr>
            <w:tcW w:type="dxa" w:w="3485"/>
          </w:tcPr>
          <w:p>
            <w:r>
              <w:t>`llm_standalone/run_llm_two_stage.py`</w:t>
            </w:r>
          </w:p>
        </w:tc>
        <w:tc>
          <w:tcPr>
            <w:tcW w:type="dxa" w:w="3485"/>
          </w:tcPr>
          <w:p>
            <w:r>
              <w:t>Reason -&gt; Action</w:t>
            </w:r>
          </w:p>
        </w:tc>
      </w:tr>
      <w:tr>
        <w:tc>
          <w:tcPr>
            <w:tcW w:type="dxa" w:w="3485"/>
          </w:tcPr>
          <w:p>
            <w:r>
              <w:t>LLM 单阶段</w:t>
            </w:r>
          </w:p>
        </w:tc>
        <w:tc>
          <w:tcPr>
            <w:tcW w:type="dxa" w:w="3485"/>
          </w:tcPr>
          <w:p>
            <w:r>
              <w:t>`llm_standalone/run_llm_one_stage.py`</w:t>
            </w:r>
          </w:p>
        </w:tc>
        <w:tc>
          <w:tcPr>
            <w:tcW w:type="dxa" w:w="3485"/>
          </w:tcPr>
          <w:p>
            <w:r>
              <w:t>Direct Action</w:t>
            </w:r>
          </w:p>
        </w:tc>
      </w:tr>
    </w:tbl>
    <w:p>
      <w:pPr>
        <w:pStyle w:val="Heading2"/>
      </w:pPr>
      <w:r>
        <w:t>指标与阈值协议</w:t>
      </w:r>
    </w:p>
    <w:p>
      <w:pPr>
        <w:pStyle w:val="BodyText"/>
      </w:pPr>
      <w:r>
        <w:t>以“拒绝”为正类，使用以下业务指标：</w:t>
      </w:r>
    </w:p>
    <w:p>
      <w:pPr>
        <w:pStyle w:val="bulletlist"/>
      </w:pPr>
      <w:r>
        <w:t>Precision(reject)：被拒样本中真实违约比例。</w:t>
      </w:r>
    </w:p>
    <w:p>
      <w:pPr>
        <w:pStyle w:val="bulletlist"/>
      </w:pPr>
      <w:r>
        <w:t>Recall(default)：违约捕获率。</w:t>
      </w:r>
    </w:p>
    <w:p>
      <w:pPr>
        <w:pStyle w:val="bulletlist"/>
      </w:pPr>
      <w:r>
        <w:t>Approval Bad Rate：放行样本坏账率。</w:t>
      </w:r>
    </w:p>
    <w:p>
      <w:pPr>
        <w:pStyle w:val="bulletlist"/>
      </w:pPr>
      <w:r>
        <w:t>Reject Rate：拒绝比例。</w:t>
      </w:r>
    </w:p>
    <w:p>
      <w:pPr>
        <w:pStyle w:val="bulletlist"/>
      </w:pPr>
      <w:r>
        <w:t>Lift：相对随机拒绝提升。</w:t>
      </w:r>
    </w:p>
    <w:p>
      <w:pPr>
        <w:pStyle w:val="BodyText"/>
      </w:pPr>
      <w:r>
        <w:t>统一阈值规则：验证集定阈值，测试集仅评估；禁止测试集调参。</w:t>
      </w:r>
    </w:p>
    <w:p>
      <w:pPr>
        <w:pStyle w:val="Heading2"/>
      </w:pPr>
      <w:r>
        <w:t>可复现配置快照</w:t>
      </w:r>
    </w:p>
    <w:p>
      <w:pPr>
        <w:pStyle w:val="BodyText"/>
      </w:pPr>
      <w:r>
        <w:t>关键复现实验设置如下：</w:t>
      </w:r>
    </w:p>
    <w:p>
      <w:pPr>
        <w:pStyle w:val="BodyText"/>
      </w:pPr>
      <w:r>
        <w:t>1. 两口径均采用分层随机切分（random_state=42），并执行“验证集定阈、测试集固定评估”。</w:t>
      </w:r>
    </w:p>
    <w:p>
      <w:pPr>
        <w:pStyle w:val="BodyText"/>
      </w:pPr>
      <w:r>
        <w:t>2. LLM 两阶段采用 Qwen3-0.6B + LoRA（lora_rank=8, learning_rate=1e-4）；BERT 有效输入长度 512。</w:t>
      </w:r>
    </w:p>
    <w:p>
      <w:pPr>
        <w:pStyle w:val="BodyText"/>
      </w:pPr>
      <w:r>
        <w:t>3. ML 路线统一使用共享特征选择结果与同一切分文件，避免样本不一致比较。</w:t>
      </w:r>
    </w:p>
    <w:p>
      <w:pPr>
        <w:pStyle w:val="Heading2"/>
      </w:pPr>
      <w:r>
        <w:t>训练与评估执行流程</w:t>
      </w:r>
    </w:p>
    <w:p>
      <w:pPr>
        <w:pStyle w:val="BodyText"/>
      </w:pPr>
      <w:r>
        <w:t>为保证实验可复查，所有模型遵循同一执行顺序：</w:t>
      </w:r>
    </w:p>
    <w:p>
      <w:pPr>
        <w:pStyle w:val="BodyText"/>
      </w:pPr>
      <w:r>
        <w:t>1. 在 train_fit 上训练模型参数，不访问测试集标签。</w:t>
      </w:r>
    </w:p>
    <w:p>
      <w:pPr>
        <w:pStyle w:val="BodyText"/>
      </w:pPr>
      <w:r>
        <w:t>2. 在 validation 上通过目标拒绝率确定阈值，并冻结阈值配置。</w:t>
      </w:r>
    </w:p>
    <w:p>
      <w:pPr>
        <w:pStyle w:val="BodyText"/>
      </w:pPr>
      <w:r>
        <w:t>3. 在 test 上一次性评估 Precision(reject)、Recall(default)、Approval Bad Rate、Lift 与 Reject Rate。</w:t>
      </w:r>
    </w:p>
    <w:p>
      <w:pPr>
        <w:pStyle w:val="BodyText"/>
      </w:pPr>
      <w:r>
        <w:t>4. 将关键输出写入对应 run_report.json 与分模型报告文档，保证“代码结果-报告结论”一致。</w:t>
      </w:r>
    </w:p>
    <w:p>
      <w:pPr>
        <w:pStyle w:val="BodyText"/>
      </w:pPr>
      <w:r>
        <w:t>该流程的核心约束是“测试集只评估不调参”，用于避免结果乐观偏差，并确保跨模型比较具有可解释性。</w:t>
      </w:r>
    </w:p>
    <w:p>
      <w:pPr>
        <w:pStyle w:val="Heading2"/>
      </w:pPr>
      <w:r>
        <w:t>证据链与可审计保障</w:t>
      </w:r>
    </w:p>
    <w:p>
      <w:pPr>
        <w:pStyle w:val="BodyText"/>
      </w:pPr>
      <w:r>
        <w:t>基于 research-planning 思路，本项目将“数据-训练-评估-报告”组织为可回溯证据链，避免口头结论与落地产物脱节：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环节</w:t>
            </w:r>
          </w:p>
        </w:tc>
        <w:tc>
          <w:tcPr>
            <w:tcW w:type="dxa" w:w="2613"/>
          </w:tcPr>
          <w:p>
            <w:r>
              <w:t>关键输入</w:t>
            </w:r>
          </w:p>
        </w:tc>
        <w:tc>
          <w:tcPr>
            <w:tcW w:type="dxa" w:w="2613"/>
          </w:tcPr>
          <w:p>
            <w:r>
              <w:t>关键输出</w:t>
            </w:r>
          </w:p>
        </w:tc>
        <w:tc>
          <w:tcPr>
            <w:tcW w:type="dxa" w:w="2613"/>
          </w:tcPr>
          <w:p>
            <w:r>
              <w:t>审计检查点</w:t>
            </w:r>
          </w:p>
        </w:tc>
      </w:tr>
      <w:tr>
        <w:tc>
          <w:tcPr>
            <w:tcW w:type="dxa" w:w="2613"/>
          </w:tcPr>
          <w:p>
            <w:r>
              <w:t>数据准备</w:t>
            </w:r>
          </w:p>
        </w:tc>
        <w:tc>
          <w:tcPr>
            <w:tcW w:type="dxa" w:w="2613"/>
          </w:tcPr>
          <w:p>
            <w:r>
              <w:t>`data/shared/shared_subset.csv`, `ml_full_processed.csv`</w:t>
            </w:r>
          </w:p>
        </w:tc>
        <w:tc>
          <w:tcPr>
            <w:tcW w:type="dxa" w:w="2613"/>
          </w:tcPr>
          <w:p>
            <w:r>
              <w:t>分层切分文件</w:t>
            </w:r>
          </w:p>
        </w:tc>
        <w:tc>
          <w:tcPr>
            <w:tcW w:type="dxa" w:w="2613"/>
          </w:tcPr>
          <w:p>
            <w:r>
              <w:t>样本规模、标签分布与口径一致性</w:t>
            </w:r>
          </w:p>
        </w:tc>
      </w:tr>
      <w:tr>
        <w:tc>
          <w:tcPr>
            <w:tcW w:type="dxa" w:w="2613"/>
          </w:tcPr>
          <w:p>
            <w:r>
              <w:t>模型训练</w:t>
            </w:r>
          </w:p>
        </w:tc>
        <w:tc>
          <w:tcPr>
            <w:tcW w:type="dxa" w:w="2613"/>
          </w:tcPr>
          <w:p>
            <w:r>
              <w:t>各模型 `run_*.py` 脚本</w:t>
            </w:r>
          </w:p>
        </w:tc>
        <w:tc>
          <w:tcPr>
            <w:tcW w:type="dxa" w:w="2613"/>
          </w:tcPr>
          <w:p>
            <w:r>
              <w:t>模型预测结果与阈值配置</w:t>
            </w:r>
          </w:p>
        </w:tc>
        <w:tc>
          <w:tcPr>
            <w:tcW w:type="dxa" w:w="2613"/>
          </w:tcPr>
          <w:p>
            <w:r>
              <w:t>是否仅使用 `train_fit/validation` 定阈</w:t>
            </w:r>
          </w:p>
        </w:tc>
      </w:tr>
      <w:tr>
        <w:tc>
          <w:tcPr>
            <w:tcW w:type="dxa" w:w="2613"/>
          </w:tcPr>
          <w:p>
            <w:r>
              <w:t>测试评估</w:t>
            </w:r>
          </w:p>
        </w:tc>
        <w:tc>
          <w:tcPr>
            <w:tcW w:type="dxa" w:w="2613"/>
          </w:tcPr>
          <w:p>
            <w:r>
              <w:t>固定测试集与统一指标协议</w:t>
            </w:r>
          </w:p>
        </w:tc>
        <w:tc>
          <w:tcPr>
            <w:tcW w:type="dxa" w:w="2613"/>
          </w:tcPr>
          <w:p>
            <w:r>
              <w:t>`run_report.json`</w:t>
            </w:r>
          </w:p>
        </w:tc>
        <w:tc>
          <w:tcPr>
            <w:tcW w:type="dxa" w:w="2613"/>
          </w:tcPr>
          <w:p>
            <w:r>
              <w:t>是否存在测试集反向调参</w:t>
            </w:r>
          </w:p>
        </w:tc>
      </w:tr>
      <w:tr>
        <w:tc>
          <w:tcPr>
            <w:tcW w:type="dxa" w:w="2613"/>
          </w:tcPr>
          <w:p>
            <w:r>
              <w:t>报告固化</w:t>
            </w:r>
          </w:p>
        </w:tc>
        <w:tc>
          <w:tcPr>
            <w:tcW w:type="dxa" w:w="2613"/>
          </w:tcPr>
          <w:p>
            <w:r>
              <w:t>主文档与分模型报告</w:t>
            </w:r>
          </w:p>
        </w:tc>
        <w:tc>
          <w:tcPr>
            <w:tcW w:type="dxa" w:w="2613"/>
          </w:tcPr>
          <w:p>
            <w:r>
              <w:t>文内表格与结论</w:t>
            </w:r>
          </w:p>
        </w:tc>
        <w:tc>
          <w:tcPr>
            <w:tcW w:type="dxa" w:w="2613"/>
          </w:tcPr>
          <w:p>
            <w:r>
              <w:t>指标数值与 JSON 文件一致</w:t>
            </w:r>
          </w:p>
        </w:tc>
      </w:tr>
    </w:tbl>
    <w:p>
      <w:pPr>
        <w:pStyle w:val="BodyText"/>
      </w:pPr>
      <w:r>
        <w:t>该机制的价值在于：任何结论都可以被定位到“对应脚本 + 对应数据 + 对应指标文件”，从而支持复评、答辩和后续维护。</w:t>
      </w:r>
    </w:p>
    <w:p>
      <w:pPr>
        <w:pStyle w:val="Heading1"/>
      </w:pPr>
      <w:r>
        <w:t>试点与数据筛选</w:t>
      </w:r>
    </w:p>
    <w:p>
      <w:pPr>
        <w:pStyle w:val="Heading2"/>
      </w:pPr>
      <w:r>
        <w:t>试点目标</w:t>
      </w:r>
    </w:p>
    <w:p>
      <w:pPr>
        <w:pStyle w:val="BodyText"/>
      </w:pPr>
      <w:r>
        <w:t>本阶段核心目标是验证“数据筛选 + 切分 + 指标流程”是否可稳定复现，为后续批量实验提供基线。</w:t>
      </w:r>
    </w:p>
    <w:p>
      <w:pPr>
        <w:pStyle w:val="Heading2"/>
      </w:pPr>
      <w:r>
        <w:t>试点输出</w:t>
      </w:r>
    </w:p>
    <w:p>
      <w:pPr>
        <w:pStyle w:val="BodyText"/>
      </w:pPr>
      <w:r>
        <w:t>1. 共享切分目录：data/shared/splits/stratified。</w:t>
      </w:r>
    </w:p>
    <w:p>
      <w:pPr>
        <w:pStyle w:val="BodyText"/>
      </w:pPr>
      <w:r>
        <w:t>2. 全量切分目录：data/shared/splits/full_actual_rr。</w:t>
      </w:r>
    </w:p>
    <w:p>
      <w:pPr>
        <w:pStyle w:val="BodyText"/>
      </w:pPr>
      <w:r>
        <w:t>3. 各模型可读取同一 _shared_row_id 对齐样本，避免隐性样本偏差。</w:t>
      </w:r>
    </w:p>
    <w:p>
      <w:pPr>
        <w:pStyle w:val="Heading2"/>
      </w:pPr>
      <w:r>
        <w:t>试点通过标准（Pilot Exit Criteria）</w:t>
      </w:r>
    </w:p>
    <w:p>
      <w:pPr>
        <w:pStyle w:val="BodyText"/>
      </w:pPr>
      <w:r>
        <w:t>为避免“试点已完成但不可扩展”的问题，本项目定义以下最小通过标准：</w:t>
      </w:r>
    </w:p>
    <w:p>
      <w:pPr>
        <w:pStyle w:val="BodyText"/>
      </w:pPr>
      <w:r>
        <w:t>1. **数据一致性通过**：两口径样本规模、标签口径与切分比例可复现。</w:t>
      </w:r>
    </w:p>
    <w:p>
      <w:pPr>
        <w:pStyle w:val="BodyText"/>
      </w:pPr>
      <w:r>
        <w:t>2. **流程一致性通过**：所有模型均遵循“训练-验证定阈-测试评估”的统一流程。</w:t>
      </w:r>
    </w:p>
    <w:p>
      <w:pPr>
        <w:pStyle w:val="BodyText"/>
      </w:pPr>
      <w:r>
        <w:t>3. **结果一致性通过**：主文档关键指标可回查到对应 run_report.json。</w:t>
      </w:r>
    </w:p>
    <w:p>
      <w:pPr>
        <w:pStyle w:val="BodyText"/>
      </w:pPr>
      <w:r>
        <w:t>4. **偏差可解释通过**：拒绝率偏差（RR_gap）和坏账率差异可在报告中解释。</w:t>
      </w:r>
    </w:p>
    <w:p>
      <w:pPr>
        <w:pStyle w:val="BodyText"/>
      </w:pPr>
      <w:r>
        <w:t>当以上四项全部满足时，试点阶段才进入“批量实验与展示材料固化”阶段。</w:t>
      </w:r>
    </w:p>
    <w:p>
      <w:pPr>
        <w:pStyle w:val="Heading1"/>
      </w:pPr>
      <w:r>
        <w:t>数据分析与结果</w:t>
      </w:r>
    </w:p>
    <w:p>
      <w:pPr>
        <w:pStyle w:val="Heading2"/>
      </w:pPr>
      <w:r>
        <w:t>口径 A：共享子集（n=7108, RR=35%）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Precision(reject)</w:t>
            </w:r>
          </w:p>
        </w:tc>
        <w:tc>
          <w:tcPr>
            <w:tcW w:type="dxa" w:w="1742"/>
          </w:tcPr>
          <w:p>
            <w:r>
              <w:t>Recall(default)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0.4538</w:t>
            </w:r>
          </w:p>
        </w:tc>
        <w:tc>
          <w:tcPr>
            <w:tcW w:type="dxa" w:w="1742"/>
          </w:tcPr>
          <w:p>
            <w:r>
              <w:t>0.3098</w:t>
            </w:r>
          </w:p>
        </w:tc>
        <w:tc>
          <w:tcPr>
            <w:tcW w:type="dxa" w:w="1742"/>
          </w:tcPr>
          <w:p>
            <w:r>
              <w:t>1.1870</w:t>
            </w:r>
          </w:p>
        </w:tc>
        <w:tc>
          <w:tcPr>
            <w:tcW w:type="dxa" w:w="1742"/>
          </w:tcPr>
          <w:p>
            <w:r>
              <w:t>0.3826</w:t>
            </w:r>
          </w:p>
        </w:tc>
      </w:tr>
      <w:tr>
        <w:tc>
          <w:tcPr>
            <w:tcW w:type="dxa" w:w="1742"/>
          </w:tcPr>
          <w:p>
            <w:r>
              <w:t>ML (logistic_text_fusion)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0.4337</w:t>
            </w:r>
          </w:p>
        </w:tc>
        <w:tc>
          <w:tcPr>
            <w:tcW w:type="dxa" w:w="1742"/>
          </w:tcPr>
          <w:p>
            <w:r>
              <w:t>0.3126</w:t>
            </w:r>
          </w:p>
        </w:tc>
        <w:tc>
          <w:tcPr>
            <w:tcW w:type="dxa" w:w="1742"/>
          </w:tcPr>
          <w:p>
            <w:r>
              <w:t>1.1868</w:t>
            </w:r>
          </w:p>
        </w:tc>
        <w:tc>
          <w:tcPr>
            <w:tcW w:type="dxa" w:w="1742"/>
          </w:tcPr>
          <w:p>
            <w:r>
              <w:t>0.3657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0.4030</w:t>
            </w:r>
          </w:p>
        </w:tc>
        <w:tc>
          <w:tcPr>
            <w:tcW w:type="dxa" w:w="1742"/>
          </w:tcPr>
          <w:p>
            <w:r>
              <w:t>0.4378</w:t>
            </w:r>
          </w:p>
        </w:tc>
        <w:tc>
          <w:tcPr>
            <w:tcW w:type="dxa" w:w="1742"/>
          </w:tcPr>
          <w:p>
            <w:r>
              <w:t>0.3178</w:t>
            </w:r>
          </w:p>
        </w:tc>
        <w:tc>
          <w:tcPr>
            <w:tcW w:type="dxa" w:w="1742"/>
          </w:tcPr>
          <w:p>
            <w:r>
              <w:t>1.1513</w:t>
            </w:r>
          </w:p>
        </w:tc>
        <w:tc>
          <w:tcPr>
            <w:tcW w:type="dxa" w:w="1742"/>
          </w:tcPr>
          <w:p>
            <w:r>
              <w:t>0.3805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0.4175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0.3120</w:t>
            </w:r>
          </w:p>
        </w:tc>
        <w:tc>
          <w:tcPr>
            <w:tcW w:type="dxa" w:w="1742"/>
          </w:tcPr>
          <w:p>
            <w:r>
              <w:t>1.1928</w:t>
            </w:r>
          </w:p>
        </w:tc>
        <w:tc>
          <w:tcPr>
            <w:tcW w:type="dxa" w:w="1742"/>
          </w:tcPr>
          <w:p>
            <w:r>
              <w:t>0.3622</w:t>
            </w:r>
          </w:p>
        </w:tc>
      </w:tr>
      <w:tr>
        <w:tc>
          <w:tcPr>
            <w:tcW w:type="dxa" w:w="1742"/>
          </w:tcPr>
          <w:p>
            <w:r>
              <w:t>BERT-Embedding</w:t>
            </w:r>
          </w:p>
        </w:tc>
        <w:tc>
          <w:tcPr>
            <w:tcW w:type="dxa" w:w="1742"/>
          </w:tcPr>
          <w:p>
            <w:r>
              <w:t>0.3859</w:t>
            </w:r>
          </w:p>
        </w:tc>
        <w:tc>
          <w:tcPr>
            <w:tcW w:type="dxa" w:w="1742"/>
          </w:tcPr>
          <w:p>
            <w:r>
              <w:t>0.4177</w:t>
            </w:r>
          </w:p>
        </w:tc>
        <w:tc>
          <w:tcPr>
            <w:tcW w:type="dxa" w:w="1742"/>
          </w:tcPr>
          <w:p>
            <w:r>
              <w:t>0.3284</w:t>
            </w:r>
          </w:p>
        </w:tc>
        <w:tc>
          <w:tcPr>
            <w:tcW w:type="dxa" w:w="1742"/>
          </w:tcPr>
          <w:p>
            <w:r>
              <w:t>1.1026</w:t>
            </w:r>
          </w:p>
        </w:tc>
        <w:tc>
          <w:tcPr>
            <w:tcW w:type="dxa" w:w="1742"/>
          </w:tcPr>
          <w:p>
            <w:r>
              <w:t>0.3790</w:t>
            </w:r>
          </w:p>
        </w:tc>
      </w:tr>
      <w:tr>
        <w:tc>
          <w:tcPr>
            <w:tcW w:type="dxa" w:w="1742"/>
          </w:tcPr>
          <w:p>
            <w:r>
              <w:t>BERT-Finetune</w:t>
            </w:r>
          </w:p>
        </w:tc>
        <w:tc>
          <w:tcPr>
            <w:tcW w:type="dxa" w:w="1742"/>
          </w:tcPr>
          <w:p>
            <w:r>
              <w:t>0.3895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0.3253</w:t>
            </w:r>
          </w:p>
        </w:tc>
        <w:tc>
          <w:tcPr>
            <w:tcW w:type="dxa" w:w="1742"/>
          </w:tcPr>
          <w:p>
            <w:r>
              <w:t>1.1128</w:t>
            </w:r>
          </w:p>
        </w:tc>
        <w:tc>
          <w:tcPr>
            <w:tcW w:type="dxa" w:w="1742"/>
          </w:tcPr>
          <w:p>
            <w:r>
              <w:t>0.3882</w:t>
            </w:r>
          </w:p>
        </w:tc>
      </w:tr>
      <w:tr>
        <w:tc>
          <w:tcPr>
            <w:tcW w:type="dxa" w:w="1742"/>
          </w:tcPr>
          <w:p>
            <w:r>
              <w:t>LLM 0.6B 两阶段微调</w:t>
            </w:r>
          </w:p>
        </w:tc>
        <w:tc>
          <w:tcPr>
            <w:tcW w:type="dxa" w:w="1742"/>
          </w:tcPr>
          <w:p>
            <w:r>
              <w:t>0.3653</w:t>
            </w:r>
          </w:p>
        </w:tc>
        <w:tc>
          <w:tcPr>
            <w:tcW w:type="dxa" w:w="1742"/>
          </w:tcPr>
          <w:p>
            <w:r>
              <w:t>0.3675</w:t>
            </w:r>
          </w:p>
        </w:tc>
        <w:tc>
          <w:tcPr>
            <w:tcW w:type="dxa" w:w="1742"/>
          </w:tcPr>
          <w:p>
            <w:r>
              <w:t>0.3420</w:t>
            </w:r>
          </w:p>
        </w:tc>
        <w:tc>
          <w:tcPr>
            <w:tcW w:type="dxa" w:w="1742"/>
          </w:tcPr>
          <w:p>
            <w:r>
              <w:t>1.0436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  <w:tr>
        <w:tc>
          <w:tcPr>
            <w:tcW w:type="dxa" w:w="1742"/>
          </w:tcPr>
          <w:p>
            <w:r>
              <w:t>LLM 0.6B 单阶段微调</w:t>
            </w:r>
          </w:p>
        </w:tc>
        <w:tc>
          <w:tcPr>
            <w:tcW w:type="dxa" w:w="1742"/>
          </w:tcPr>
          <w:p>
            <w:r>
              <w:t>0.3587</w:t>
            </w:r>
          </w:p>
        </w:tc>
        <w:tc>
          <w:tcPr>
            <w:tcW w:type="dxa" w:w="1742"/>
          </w:tcPr>
          <w:p>
            <w:r>
              <w:t>0.6245</w:t>
            </w:r>
          </w:p>
        </w:tc>
        <w:tc>
          <w:tcPr>
            <w:tcW w:type="dxa" w:w="1742"/>
          </w:tcPr>
          <w:p>
            <w:r>
              <w:t>0.3369</w:t>
            </w:r>
          </w:p>
        </w:tc>
        <w:tc>
          <w:tcPr>
            <w:tcW w:type="dxa" w:w="1742"/>
          </w:tcPr>
          <w:p>
            <w:r>
              <w:t>1.0249</w:t>
            </w:r>
          </w:p>
        </w:tc>
        <w:tc>
          <w:tcPr>
            <w:tcW w:type="dxa" w:w="1742"/>
          </w:tcPr>
          <w:p>
            <w:r>
              <w:t>0.6097</w:t>
            </w:r>
          </w:p>
        </w:tc>
      </w:tr>
      <w:tr>
        <w:tc>
          <w:tcPr>
            <w:tcW w:type="dxa" w:w="1742"/>
          </w:tcPr>
          <w:p>
            <w:r>
              <w:t>GPT-5.2 未微调</w:t>
            </w:r>
          </w:p>
        </w:tc>
        <w:tc>
          <w:tcPr>
            <w:tcW w:type="dxa" w:w="1742"/>
          </w:tcPr>
          <w:p>
            <w:r>
              <w:t>0.3462</w:t>
            </w:r>
          </w:p>
        </w:tc>
        <w:tc>
          <w:tcPr>
            <w:tcW w:type="dxa" w:w="1742"/>
          </w:tcPr>
          <w:p>
            <w:r>
              <w:t>0.8133</w:t>
            </w:r>
          </w:p>
        </w:tc>
        <w:tc>
          <w:tcPr>
            <w:tcW w:type="dxa" w:w="1742"/>
          </w:tcPr>
          <w:p>
            <w:r>
              <w:t>0.3690</w:t>
            </w:r>
          </w:p>
        </w:tc>
        <w:tc>
          <w:tcPr>
            <w:tcW w:type="dxa" w:w="1742"/>
          </w:tcPr>
          <w:p>
            <w:r>
              <w:t>0.9884</w:t>
            </w:r>
          </w:p>
        </w:tc>
        <w:tc>
          <w:tcPr>
            <w:tcW w:type="dxa" w:w="1742"/>
          </w:tcPr>
          <w:p>
            <w:r>
              <w:t>0.8228</w:t>
            </w:r>
          </w:p>
        </w:tc>
      </w:tr>
    </w:tbl>
    <w:p>
      <w:pPr>
        <w:pStyle w:val="Heading2"/>
      </w:pPr>
      <w:r>
        <w:t>公平比较边界</w:t>
      </w:r>
    </w:p>
    <w:p>
      <w:pPr>
        <w:pStyle w:val="BodyText"/>
      </w:pPr>
      <w:r>
        <w:t>在口径 A 中，仅拒绝率接近 35% 的模型可进入公平主榜（前 7 条）。单阶段 LLM 和 GPT-5.2 因拒绝率显著偏高，不参与主榜优劣结论。</w:t>
      </w:r>
    </w:p>
    <w:p>
      <w:pPr>
        <w:pStyle w:val="Heading2"/>
      </w:pPr>
      <w:r>
        <w:t>口径 B：全量业务分布（n=123,202, RR=0.1533）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Precision(reject)</w:t>
            </w:r>
          </w:p>
        </w:tc>
        <w:tc>
          <w:tcPr>
            <w:tcW w:type="dxa" w:w="1742"/>
          </w:tcPr>
          <w:p>
            <w:r>
              <w:t>Recall(default)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0.3069</w:t>
            </w:r>
          </w:p>
        </w:tc>
        <w:tc>
          <w:tcPr>
            <w:tcW w:type="dxa" w:w="1742"/>
          </w:tcPr>
          <w:p>
            <w:r>
              <w:t>0.2992</w:t>
            </w:r>
          </w:p>
        </w:tc>
        <w:tc>
          <w:tcPr>
            <w:tcW w:type="dxa" w:w="1742"/>
          </w:tcPr>
          <w:p>
            <w:r>
              <w:t>0.1263</w:t>
            </w:r>
          </w:p>
        </w:tc>
        <w:tc>
          <w:tcPr>
            <w:tcW w:type="dxa" w:w="1742"/>
          </w:tcPr>
          <w:p>
            <w:r>
              <w:t>2.0023</w:t>
            </w:r>
          </w:p>
        </w:tc>
        <w:tc>
          <w:tcPr>
            <w:tcW w:type="dxa" w:w="1742"/>
          </w:tcPr>
          <w:p>
            <w:r>
              <w:t>0.1494</w:t>
            </w:r>
          </w:p>
        </w:tc>
      </w:tr>
      <w:tr>
        <w:tc>
          <w:tcPr>
            <w:tcW w:type="dxa" w:w="1742"/>
          </w:tcPr>
          <w:p>
            <w:r>
              <w:t>ML (logistic_text_fusion)</w:t>
            </w:r>
          </w:p>
        </w:tc>
        <w:tc>
          <w:tcPr>
            <w:tcW w:type="dxa" w:w="1742"/>
          </w:tcPr>
          <w:p>
            <w:r>
              <w:t>0.2994</w:t>
            </w:r>
          </w:p>
        </w:tc>
        <w:tc>
          <w:tcPr>
            <w:tcW w:type="dxa" w:w="1742"/>
          </w:tcPr>
          <w:p>
            <w:r>
              <w:t>0.3050</w:t>
            </w:r>
          </w:p>
        </w:tc>
        <w:tc>
          <w:tcPr>
            <w:tcW w:type="dxa" w:w="1742"/>
          </w:tcPr>
          <w:p>
            <w:r>
              <w:t>0.1262</w:t>
            </w:r>
          </w:p>
        </w:tc>
        <w:tc>
          <w:tcPr>
            <w:tcW w:type="dxa" w:w="1742"/>
          </w:tcPr>
          <w:p>
            <w:r>
              <w:t>1.9532</w:t>
            </w:r>
          </w:p>
        </w:tc>
        <w:tc>
          <w:tcPr>
            <w:tcW w:type="dxa" w:w="1742"/>
          </w:tcPr>
          <w:p>
            <w:r>
              <w:t>0.1562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0.3153</w:t>
            </w:r>
          </w:p>
        </w:tc>
        <w:tc>
          <w:tcPr>
            <w:tcW w:type="dxa" w:w="1742"/>
          </w:tcPr>
          <w:p>
            <w:r>
              <w:t>0.3095</w:t>
            </w:r>
          </w:p>
        </w:tc>
        <w:tc>
          <w:tcPr>
            <w:tcW w:type="dxa" w:w="1742"/>
          </w:tcPr>
          <w:p>
            <w:r>
              <w:t>0.1246</w:t>
            </w:r>
          </w:p>
        </w:tc>
        <w:tc>
          <w:tcPr>
            <w:tcW w:type="dxa" w:w="1742"/>
          </w:tcPr>
          <w:p>
            <w:r>
              <w:t>2.0568</w:t>
            </w:r>
          </w:p>
        </w:tc>
        <w:tc>
          <w:tcPr>
            <w:tcW w:type="dxa" w:w="1742"/>
          </w:tcPr>
          <w:p>
            <w:r>
              <w:t>0.1505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0.2849</w:t>
            </w:r>
          </w:p>
        </w:tc>
        <w:tc>
          <w:tcPr>
            <w:tcW w:type="dxa" w:w="1742"/>
          </w:tcPr>
          <w:p>
            <w:r>
              <w:t>0.2851</w:t>
            </w:r>
          </w:p>
        </w:tc>
        <w:tc>
          <w:tcPr>
            <w:tcW w:type="dxa" w:w="1742"/>
          </w:tcPr>
          <w:p>
            <w:r>
              <w:t>0.1294</w:t>
            </w:r>
          </w:p>
        </w:tc>
        <w:tc>
          <w:tcPr>
            <w:tcW w:type="dxa" w:w="1742"/>
          </w:tcPr>
          <w:p>
            <w:r>
              <w:t>1.8589</w:t>
            </w:r>
          </w:p>
        </w:tc>
        <w:tc>
          <w:tcPr>
            <w:tcW w:type="dxa" w:w="1742"/>
          </w:tcPr>
          <w:p>
            <w:r>
              <w:t>0.1534</w:t>
            </w:r>
          </w:p>
        </w:tc>
      </w:tr>
    </w:tbl>
    <w:p>
      <w:pPr>
        <w:pStyle w:val="Heading2"/>
      </w:pPr>
      <w:r>
        <w:t>假说检验结论</w:t>
      </w:r>
    </w:p>
    <w:p>
      <w:pPr>
        <w:pStyle w:val="BodyText"/>
      </w:pPr>
      <w:r>
        <w:t>1. H1 成立：共享高风险口径下结构化路线更稳健。</w:t>
      </w:r>
    </w:p>
    <w:p>
      <w:pPr>
        <w:pStyle w:val="BodyText"/>
      </w:pPr>
      <w:r>
        <w:t>2. H2 成立：部分 LLM 路线存在“高拒绝率换高召回”。</w:t>
      </w:r>
    </w:p>
    <w:p>
      <w:pPr>
        <w:pStyle w:val="BodyText"/>
      </w:pPr>
      <w:r>
        <w:t>3. H3 成立：全量口径模型排序变化，xgboost_tabular 成为最优。</w:t>
      </w:r>
    </w:p>
    <w:p>
      <w:pPr>
        <w:pStyle w:val="Heading2"/>
      </w:pPr>
      <w:r>
        <w:t>关键差异的量化解读</w:t>
      </w:r>
    </w:p>
    <w:p>
      <w:pPr>
        <w:pStyle w:val="BodyText"/>
      </w:pPr>
      <w:r>
        <w:t>1. 在口径 A 中，DataAnalysis 相比两阶段 LLM 的 Precision(reject) 提升 0.0522（0.4175 - 0.3653），对应约 14.3% 的相对提升。</w:t>
      </w:r>
    </w:p>
    <w:p>
      <w:pPr>
        <w:pStyle w:val="BodyText"/>
      </w:pPr>
      <w:r>
        <w:t>2. 在口径 A 中，ML(logistic_tabular) 相比 DataAnalysis 的 Recall(default) 提升 0.0221，但 Precision(reject) 略低 0.0021，说明二者更像“精度-召回”权衡关系而非绝对替代。</w:t>
      </w:r>
    </w:p>
    <w:p>
      <w:pPr>
        <w:pStyle w:val="BodyText"/>
      </w:pPr>
      <w:r>
        <w:t>3. 在口径 B 中，ML(xgboost_tabular) 相比 DataAnalysis 的 Precision(reject) 提升 0.0304，Lift 提升 0.1979，表明全量分布下树模型优势更明显。</w:t>
      </w:r>
    </w:p>
    <w:p>
      <w:pPr>
        <w:pStyle w:val="BodyText"/>
      </w:pPr>
      <w:r>
        <w:t>4. 单阶段 LLM 与 GPT-5.2 的高召回伴随显著更高拒绝率（0.6097、0.8228），改进主要来自策略变化而非同口径判别质量提升。</w:t>
      </w:r>
    </w:p>
    <w:p>
      <w:pPr>
        <w:pStyle w:val="Heading2"/>
      </w:pPr>
      <w:r>
        <w:t>混淆矩阵视角（核心模型）</w:t>
      </w:r>
    </w:p>
    <w:p>
      <w:pPr>
        <w:pStyle w:val="BodyText"/>
      </w:pPr>
      <w:r>
        <w:t>为避免仅凭单一比例指标解读，本节给出核心模型在测试集上的 TP/FP/TN/FN 计数。</w:t>
      </w:r>
    </w:p>
    <w:p>
      <w:pPr>
        <w:pStyle w:val="BodyText"/>
      </w:pPr>
      <w:r>
        <w:t>口径 A（n=1422）：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TP</w:t>
            </w:r>
          </w:p>
        </w:tc>
        <w:tc>
          <w:tcPr>
            <w:tcW w:type="dxa" w:w="1742"/>
          </w:tcPr>
          <w:p>
            <w:r>
              <w:t>FP</w:t>
            </w:r>
          </w:p>
        </w:tc>
        <w:tc>
          <w:tcPr>
            <w:tcW w:type="dxa" w:w="1742"/>
          </w:tcPr>
          <w:p>
            <w:r>
              <w:t>TN</w:t>
            </w:r>
          </w:p>
        </w:tc>
        <w:tc>
          <w:tcPr>
            <w:tcW w:type="dxa" w:w="1742"/>
          </w:tcPr>
          <w:p>
            <w:r>
              <w:t>FN</w:t>
            </w:r>
          </w:p>
        </w:tc>
        <w:tc>
          <w:tcPr>
            <w:tcW w:type="dxa" w:w="1742"/>
          </w:tcPr>
          <w:p>
            <w:r>
              <w:t>Reject Rate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215</w:t>
            </w:r>
          </w:p>
        </w:tc>
        <w:tc>
          <w:tcPr>
            <w:tcW w:type="dxa" w:w="1742"/>
          </w:tcPr>
          <w:p>
            <w:r>
              <w:t>300</w:t>
            </w:r>
          </w:p>
        </w:tc>
        <w:tc>
          <w:tcPr>
            <w:tcW w:type="dxa" w:w="1742"/>
          </w:tcPr>
          <w:p>
            <w:r>
              <w:t>624</w:t>
            </w:r>
          </w:p>
        </w:tc>
        <w:tc>
          <w:tcPr>
            <w:tcW w:type="dxa" w:w="1742"/>
          </w:tcPr>
          <w:p>
            <w:r>
              <w:t>283</w:t>
            </w:r>
          </w:p>
        </w:tc>
        <w:tc>
          <w:tcPr>
            <w:tcW w:type="dxa" w:w="1742"/>
          </w:tcPr>
          <w:p>
            <w:r>
              <w:t>0.3622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226</w:t>
            </w:r>
          </w:p>
        </w:tc>
        <w:tc>
          <w:tcPr>
            <w:tcW w:type="dxa" w:w="1742"/>
          </w:tcPr>
          <w:p>
            <w:r>
              <w:t>318</w:t>
            </w:r>
          </w:p>
        </w:tc>
        <w:tc>
          <w:tcPr>
            <w:tcW w:type="dxa" w:w="1742"/>
          </w:tcPr>
          <w:p>
            <w:r>
              <w:t>606</w:t>
            </w:r>
          </w:p>
        </w:tc>
        <w:tc>
          <w:tcPr>
            <w:tcW w:type="dxa" w:w="1742"/>
          </w:tcPr>
          <w:p>
            <w:r>
              <w:t>272</w:t>
            </w:r>
          </w:p>
        </w:tc>
        <w:tc>
          <w:tcPr>
            <w:tcW w:type="dxa" w:w="1742"/>
          </w:tcPr>
          <w:p>
            <w:r>
              <w:t>0.3826</w:t>
            </w:r>
          </w:p>
        </w:tc>
      </w:tr>
      <w:tr>
        <w:tc>
          <w:tcPr>
            <w:tcW w:type="dxa" w:w="1742"/>
          </w:tcPr>
          <w:p>
            <w:r>
              <w:t>BERT-Finetune</w:t>
            </w:r>
          </w:p>
        </w:tc>
        <w:tc>
          <w:tcPr>
            <w:tcW w:type="dxa" w:w="1742"/>
          </w:tcPr>
          <w:p>
            <w:r>
              <w:t>215</w:t>
            </w:r>
          </w:p>
        </w:tc>
        <w:tc>
          <w:tcPr>
            <w:tcW w:type="dxa" w:w="1742"/>
          </w:tcPr>
          <w:p>
            <w:r>
              <w:t>337</w:t>
            </w:r>
          </w:p>
        </w:tc>
        <w:tc>
          <w:tcPr>
            <w:tcW w:type="dxa" w:w="1742"/>
          </w:tcPr>
          <w:p>
            <w:r>
              <w:t>587</w:t>
            </w:r>
          </w:p>
        </w:tc>
        <w:tc>
          <w:tcPr>
            <w:tcW w:type="dxa" w:w="1742"/>
          </w:tcPr>
          <w:p>
            <w:r>
              <w:t>283</w:t>
            </w:r>
          </w:p>
        </w:tc>
        <w:tc>
          <w:tcPr>
            <w:tcW w:type="dxa" w:w="1742"/>
          </w:tcPr>
          <w:p>
            <w:r>
              <w:t>0.3882</w:t>
            </w:r>
          </w:p>
        </w:tc>
      </w:tr>
      <w:tr>
        <w:tc>
          <w:tcPr>
            <w:tcW w:type="dxa" w:w="1742"/>
          </w:tcPr>
          <w:p>
            <w:r>
              <w:t>LLM 两阶段</w:t>
            </w:r>
          </w:p>
        </w:tc>
        <w:tc>
          <w:tcPr>
            <w:tcW w:type="dxa" w:w="1742"/>
          </w:tcPr>
          <w:p>
            <w:r>
              <w:t>183</w:t>
            </w:r>
          </w:p>
        </w:tc>
        <w:tc>
          <w:tcPr>
            <w:tcW w:type="dxa" w:w="1742"/>
          </w:tcPr>
          <w:p>
            <w:r>
              <w:t>318</w:t>
            </w:r>
          </w:p>
        </w:tc>
        <w:tc>
          <w:tcPr>
            <w:tcW w:type="dxa" w:w="1742"/>
          </w:tcPr>
          <w:p>
            <w:r>
              <w:t>606</w:t>
            </w:r>
          </w:p>
        </w:tc>
        <w:tc>
          <w:tcPr>
            <w:tcW w:type="dxa" w:w="1742"/>
          </w:tcPr>
          <w:p>
            <w:r>
              <w:t>315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  <w:tr>
        <w:tc>
          <w:tcPr>
            <w:tcW w:type="dxa" w:w="1742"/>
          </w:tcPr>
          <w:p>
            <w:r>
              <w:t>LLM 单阶段</w:t>
            </w:r>
          </w:p>
        </w:tc>
        <w:tc>
          <w:tcPr>
            <w:tcW w:type="dxa" w:w="1742"/>
          </w:tcPr>
          <w:p>
            <w:r>
              <w:t>311</w:t>
            </w:r>
          </w:p>
        </w:tc>
        <w:tc>
          <w:tcPr>
            <w:tcW w:type="dxa" w:w="1742"/>
          </w:tcPr>
          <w:p>
            <w:r>
              <w:t>556</w:t>
            </w:r>
          </w:p>
        </w:tc>
        <w:tc>
          <w:tcPr>
            <w:tcW w:type="dxa" w:w="1742"/>
          </w:tcPr>
          <w:p>
            <w:r>
              <w:t>368</w:t>
            </w:r>
          </w:p>
        </w:tc>
        <w:tc>
          <w:tcPr>
            <w:tcW w:type="dxa" w:w="1742"/>
          </w:tcPr>
          <w:p>
            <w:r>
              <w:t>187</w:t>
            </w:r>
          </w:p>
        </w:tc>
        <w:tc>
          <w:tcPr>
            <w:tcW w:type="dxa" w:w="1742"/>
          </w:tcPr>
          <w:p>
            <w:r>
              <w:t>0.6097</w:t>
            </w:r>
          </w:p>
        </w:tc>
      </w:tr>
      <w:tr>
        <w:tc>
          <w:tcPr>
            <w:tcW w:type="dxa" w:w="1742"/>
          </w:tcPr>
          <w:p>
            <w:r>
              <w:t>GPT-5.2</w:t>
            </w:r>
          </w:p>
        </w:tc>
        <w:tc>
          <w:tcPr>
            <w:tcW w:type="dxa" w:w="1742"/>
          </w:tcPr>
          <w:p>
            <w:r>
              <w:t>405</w:t>
            </w:r>
          </w:p>
        </w:tc>
        <w:tc>
          <w:tcPr>
            <w:tcW w:type="dxa" w:w="1742"/>
          </w:tcPr>
          <w:p>
            <w:r>
              <w:t>765</w:t>
            </w:r>
          </w:p>
        </w:tc>
        <w:tc>
          <w:tcPr>
            <w:tcW w:type="dxa" w:w="1742"/>
          </w:tcPr>
          <w:p>
            <w:r>
              <w:t>159</w:t>
            </w:r>
          </w:p>
        </w:tc>
        <w:tc>
          <w:tcPr>
            <w:tcW w:type="dxa" w:w="1742"/>
          </w:tcPr>
          <w:p>
            <w:r>
              <w:t>93</w:t>
            </w:r>
          </w:p>
        </w:tc>
        <w:tc>
          <w:tcPr>
            <w:tcW w:type="dxa" w:w="1742"/>
          </w:tcPr>
          <w:p>
            <w:r>
              <w:t>0.8228</w:t>
            </w:r>
          </w:p>
        </w:tc>
      </w:tr>
    </w:tbl>
    <w:p>
      <w:pPr>
        <w:pStyle w:val="BodyText"/>
      </w:pPr>
      <w:r>
        <w:t>口径 B（n=24641）：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TP</w:t>
            </w:r>
          </w:p>
        </w:tc>
        <w:tc>
          <w:tcPr>
            <w:tcW w:type="dxa" w:w="1742"/>
          </w:tcPr>
          <w:p>
            <w:r>
              <w:t>FP</w:t>
            </w:r>
          </w:p>
        </w:tc>
        <w:tc>
          <w:tcPr>
            <w:tcW w:type="dxa" w:w="1742"/>
          </w:tcPr>
          <w:p>
            <w:r>
              <w:t>TN</w:t>
            </w:r>
          </w:p>
        </w:tc>
        <w:tc>
          <w:tcPr>
            <w:tcW w:type="dxa" w:w="1742"/>
          </w:tcPr>
          <w:p>
            <w:r>
              <w:t>FN</w:t>
            </w:r>
          </w:p>
        </w:tc>
        <w:tc>
          <w:tcPr>
            <w:tcW w:type="dxa" w:w="1742"/>
          </w:tcPr>
          <w:p>
            <w:r>
              <w:t>Reject Rate</w:t>
            </w:r>
          </w:p>
        </w:tc>
      </w:tr>
      <w:tr>
        <w:tc>
          <w:tcPr>
            <w:tcW w:type="dxa" w:w="1742"/>
          </w:tcPr>
          <w:p>
            <w:r>
              <w:t>ML (xgboost_tabular)</w:t>
            </w:r>
          </w:p>
        </w:tc>
        <w:tc>
          <w:tcPr>
            <w:tcW w:type="dxa" w:w="1742"/>
          </w:tcPr>
          <w:p>
            <w:r>
              <w:t>1169</w:t>
            </w:r>
          </w:p>
        </w:tc>
        <w:tc>
          <w:tcPr>
            <w:tcW w:type="dxa" w:w="1742"/>
          </w:tcPr>
          <w:p>
            <w:r>
              <w:t>2539</w:t>
            </w:r>
          </w:p>
        </w:tc>
        <w:tc>
          <w:tcPr>
            <w:tcW w:type="dxa" w:w="1742"/>
          </w:tcPr>
          <w:p>
            <w:r>
              <w:t>18325</w:t>
            </w:r>
          </w:p>
        </w:tc>
        <w:tc>
          <w:tcPr>
            <w:tcW w:type="dxa" w:w="1742"/>
          </w:tcPr>
          <w:p>
            <w:r>
              <w:t>2608</w:t>
            </w:r>
          </w:p>
        </w:tc>
        <w:tc>
          <w:tcPr>
            <w:tcW w:type="dxa" w:w="1742"/>
          </w:tcPr>
          <w:p>
            <w:r>
              <w:t>0.1505</w:t>
            </w:r>
          </w:p>
        </w:tc>
      </w:tr>
      <w:tr>
        <w:tc>
          <w:tcPr>
            <w:tcW w:type="dxa" w:w="1742"/>
          </w:tcPr>
          <w:p>
            <w:r>
              <w:t>ML (logistic_tabular)</w:t>
            </w:r>
          </w:p>
        </w:tc>
        <w:tc>
          <w:tcPr>
            <w:tcW w:type="dxa" w:w="1742"/>
          </w:tcPr>
          <w:p>
            <w:r>
              <w:t>1130</w:t>
            </w:r>
          </w:p>
        </w:tc>
        <w:tc>
          <w:tcPr>
            <w:tcW w:type="dxa" w:w="1742"/>
          </w:tcPr>
          <w:p>
            <w:r>
              <w:t>2552</w:t>
            </w:r>
          </w:p>
        </w:tc>
        <w:tc>
          <w:tcPr>
            <w:tcW w:type="dxa" w:w="1742"/>
          </w:tcPr>
          <w:p>
            <w:r>
              <w:t>18312</w:t>
            </w:r>
          </w:p>
        </w:tc>
        <w:tc>
          <w:tcPr>
            <w:tcW w:type="dxa" w:w="1742"/>
          </w:tcPr>
          <w:p>
            <w:r>
              <w:t>2647</w:t>
            </w:r>
          </w:p>
        </w:tc>
        <w:tc>
          <w:tcPr>
            <w:tcW w:type="dxa" w:w="1742"/>
          </w:tcPr>
          <w:p>
            <w:r>
              <w:t>0.1494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1077</w:t>
            </w:r>
          </w:p>
        </w:tc>
        <w:tc>
          <w:tcPr>
            <w:tcW w:type="dxa" w:w="1742"/>
          </w:tcPr>
          <w:p>
            <w:r>
              <w:t>2703</w:t>
            </w:r>
          </w:p>
        </w:tc>
        <w:tc>
          <w:tcPr>
            <w:tcW w:type="dxa" w:w="1742"/>
          </w:tcPr>
          <w:p>
            <w:r>
              <w:t>18161</w:t>
            </w:r>
          </w:p>
        </w:tc>
        <w:tc>
          <w:tcPr>
            <w:tcW w:type="dxa" w:w="1742"/>
          </w:tcPr>
          <w:p>
            <w:r>
              <w:t>2700</w:t>
            </w:r>
          </w:p>
        </w:tc>
        <w:tc>
          <w:tcPr>
            <w:tcW w:type="dxa" w:w="1742"/>
          </w:tcPr>
          <w:p>
            <w:r>
              <w:t>0.1534</w:t>
            </w:r>
          </w:p>
        </w:tc>
      </w:tr>
    </w:tbl>
    <w:p>
      <w:pPr>
        <w:pStyle w:val="Heading2"/>
      </w:pPr>
      <w:r>
        <w:t>每千笔业务代价解释</w:t>
      </w:r>
    </w:p>
    <w:p>
      <w:pPr>
        <w:pStyle w:val="BodyText"/>
      </w:pPr>
      <w:r>
        <w:t>将混淆矩阵折算为“每 1000 笔申请”后，结论更直观：</w:t>
      </w:r>
    </w:p>
    <w:p>
      <w:pPr>
        <w:pStyle w:val="BodyText"/>
      </w:pPr>
      <w:r>
        <w:t>1. 口径 A：ML(logistic_tabular) 约捕获违约 158.9、放过违约 191.3、误拒好样本 223.6；DataAnalysis 为 151.2/199.0/211.0；LLM 两阶段 为 128.7/221.5/223.6。</w:t>
      </w:r>
    </w:p>
    <w:p>
      <w:pPr>
        <w:pStyle w:val="BodyText"/>
      </w:pPr>
      <w:r>
        <w:t>2. 口径 B：ML(xgboost_tabular) 为 47.4/105.8/103.0，优于 DataAnalysis 的 43.7/109.6/109.7。</w:t>
      </w:r>
    </w:p>
    <w:p>
      <w:pPr>
        <w:pStyle w:val="Heading2"/>
      </w:pPr>
      <w:r>
        <w:t>阈值稳定性与上线监控建议</w:t>
      </w:r>
    </w:p>
    <w:p>
      <w:pPr>
        <w:pStyle w:val="BodyText"/>
      </w:pPr>
      <w:r>
        <w:t>定义 RR_gap = RR_actual - RR_target 用于监控阈值偏移。 口径 A 中，DataAnalysis 为 +0.0122、ML(logistic_tabular) 为 +0.0326、LLM 单阶段 为 +0.2597、GPT-5.2 为 +0.4728；口径 B 中，ML(xgboost_tabular) 为 -0.0028、ML(logistic_tabular) 为 -0.0039、DataAnalysis 为 +0.0001。</w:t>
      </w:r>
    </w:p>
    <w:p>
      <w:pPr>
        <w:pStyle w:val="BodyText"/>
      </w:pPr>
      <w:r>
        <w:t>建议：</w:t>
      </w:r>
    </w:p>
    <w:p>
      <w:pPr>
        <w:pStyle w:val="BodyText"/>
      </w:pPr>
      <w:r>
        <w:t>1. |RR_gap| &lt;= 0.01 视为稳定，0.01 &lt; |RR_gap| &lt;= 0.03 预警，|RR_gap| &gt; 0.03 触发复标定。</w:t>
      </w:r>
    </w:p>
    <w:p>
      <w:pPr>
        <w:pStyle w:val="BodyText"/>
      </w:pPr>
      <w:r>
        <w:t>2. 与 RR_gap 同步监控 Approval Bad Rate；高波动模型先作为辅助意见流，不直接主判。</w:t>
      </w:r>
    </w:p>
    <w:p>
      <w:pPr>
        <w:pStyle w:val="Heading2"/>
      </w:pPr>
      <w:r>
        <w:t>口径间排序变化的机制解释</w:t>
      </w:r>
    </w:p>
    <w:p>
      <w:pPr>
        <w:pStyle w:val="BodyText"/>
      </w:pPr>
      <w:r>
        <w:t>从结果看，口径 A 与口径 B 的最佳模型不同，这不是冲突，而是样本分布与目标函数共同作用的结果：</w:t>
      </w:r>
    </w:p>
    <w:p>
      <w:pPr>
        <w:pStyle w:val="BodyText"/>
      </w:pPr>
      <w:r>
        <w:t>1. 口径 A 为高风险筛选子集，样本已具备更强结构化风险信号，文本特征的边际增益被压缩。</w:t>
      </w:r>
    </w:p>
    <w:p>
      <w:pPr>
        <w:pStyle w:val="BodyText"/>
      </w:pPr>
      <w:r>
        <w:t>2. 口径 B 覆盖全量业务分布，类别结构更接近真实投产环境，树模型对非线性与交互特征的利用更充分。</w:t>
      </w:r>
    </w:p>
    <w:p>
      <w:pPr>
        <w:pStyle w:val="BodyText"/>
      </w:pPr>
      <w:r>
        <w:t>3. 固定拒绝率与实际违约率目标分别代表“公平横评”与“部署约束”两类问题，应分别给出结论而非混合解释。</w:t>
      </w:r>
    </w:p>
    <w:p>
      <w:pPr>
        <w:pStyle w:val="BodyText"/>
      </w:pPr>
      <w:r>
        <w:t>4. 因此，本报告将模型选择分为两层：离线横评层看同口径判别质量，部署决策层看目标拒绝率稳定性与坏账控制表现。</w:t>
      </w:r>
    </w:p>
    <w:p>
      <w:pPr>
        <w:pStyle w:val="Heading2"/>
      </w:pPr>
      <w:r>
        <w:t>主榜与扩展榜的双层报告规则</w:t>
      </w:r>
    </w:p>
    <w:p>
      <w:pPr>
        <w:pStyle w:val="BodyText"/>
      </w:pPr>
      <w:r>
        <w:t>为减少“单一排行榜”导致的误读，本项目采用主榜与扩展榜并行汇报：</w:t>
      </w:r>
    </w:p>
    <w:p>
      <w:pPr>
        <w:pStyle w:val="BodyText"/>
      </w:pPr>
      <w:r>
        <w:t>1. **主榜（公平比较）**：仅纳入拒绝率接近目标值的模型，用于回答“同等业务约束下谁更优”。</w:t>
      </w:r>
    </w:p>
    <w:p>
      <w:pPr>
        <w:pStyle w:val="BodyText"/>
      </w:pPr>
      <w:r>
        <w:t>2. **扩展榜（策略观察）**：纳入所有模型，用于展示“放宽约束后模型会如何改变召回与拒绝行为”。</w:t>
      </w:r>
    </w:p>
    <w:p>
      <w:pPr>
        <w:pStyle w:val="BodyText"/>
      </w:pPr>
      <w:r>
        <w:t>以口径 A 为例，单阶段 LLM 与 GPT-5.2 的 Recall(default) 虽高，但 Reject Rate 分别达到 0.6097 和 0.8228，显著偏离 RR=0.35 约束，因此不应与主榜模型直接比较优劣。该规则的作用是把“判别能力”与“策略激进度”分离解释，避免在展示中把高召回误读为可直接上线。</w:t>
      </w:r>
    </w:p>
    <w:p>
      <w:pPr>
        <w:pStyle w:val="BodyText"/>
      </w:pPr>
      <w:r>
        <w:t>在答辩或业务汇报中，建议始终同时报告三项信息：目标拒绝率、实际拒绝率偏差、同口径下的 Precision/Lift 排序。只有三者同时满足时，模型才进入部署候选名单。</w:t>
      </w:r>
    </w:p>
    <w:p>
      <w:pPr>
        <w:pStyle w:val="Heading2"/>
      </w:pPr>
      <w:r>
        <w:t>模型家族误差模式与适用边界</w:t>
      </w:r>
    </w:p>
    <w:p>
      <w:pPr>
        <w:pStyle w:val="BodyText"/>
      </w:pPr>
      <w:r>
        <w:t>结合口径 A/B 结果与混淆矩阵，可将模型家族的误差模式概括为下表：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模型家族</w:t>
            </w:r>
          </w:p>
        </w:tc>
        <w:tc>
          <w:tcPr>
            <w:tcW w:type="dxa" w:w="2613"/>
          </w:tcPr>
          <w:p>
            <w:r>
              <w:t>主要优势</w:t>
            </w:r>
          </w:p>
        </w:tc>
        <w:tc>
          <w:tcPr>
            <w:tcW w:type="dxa" w:w="2613"/>
          </w:tcPr>
          <w:p>
            <w:r>
              <w:t>主要风险</w:t>
            </w:r>
          </w:p>
        </w:tc>
        <w:tc>
          <w:tcPr>
            <w:tcW w:type="dxa" w:w="2613"/>
          </w:tcPr>
          <w:p>
            <w:r>
              <w:t>当前建议角色</w:t>
            </w:r>
          </w:p>
        </w:tc>
      </w:tr>
      <w:tr>
        <w:tc>
          <w:tcPr>
            <w:tcW w:type="dxa" w:w="2613"/>
          </w:tcPr>
          <w:p>
            <w:r>
              <w:t>ML（Logistic）</w:t>
            </w:r>
          </w:p>
        </w:tc>
        <w:tc>
          <w:tcPr>
            <w:tcW w:type="dxa" w:w="2613"/>
          </w:tcPr>
          <w:p>
            <w:r>
              <w:t>规则清晰、阈值可解释、在公平口径下稳定</w:t>
            </w:r>
          </w:p>
        </w:tc>
        <w:tc>
          <w:tcPr>
            <w:tcW w:type="dxa" w:w="2613"/>
          </w:tcPr>
          <w:p>
            <w:r>
              <w:t>复杂非线性关系捕捉能力有限</w:t>
            </w:r>
          </w:p>
        </w:tc>
        <w:tc>
          <w:tcPr>
            <w:tcW w:type="dxa" w:w="2613"/>
          </w:tcPr>
          <w:p>
            <w:r>
              <w:t>主判候选（高可控场景）</w:t>
            </w:r>
          </w:p>
        </w:tc>
      </w:tr>
      <w:tr>
        <w:tc>
          <w:tcPr>
            <w:tcW w:type="dxa" w:w="2613"/>
          </w:tcPr>
          <w:p>
            <w:r>
              <w:t>ML（XGBoost）</w:t>
            </w:r>
          </w:p>
        </w:tc>
        <w:tc>
          <w:tcPr>
            <w:tcW w:type="dxa" w:w="2613"/>
          </w:tcPr>
          <w:p>
            <w:r>
              <w:t>全量分布下 Precision/Lift 优势明显</w:t>
            </w:r>
          </w:p>
        </w:tc>
        <w:tc>
          <w:tcPr>
            <w:tcW w:type="dxa" w:w="2613"/>
          </w:tcPr>
          <w:p>
            <w:r>
              <w:t>解释成本相对更高</w:t>
            </w:r>
          </w:p>
        </w:tc>
        <w:tc>
          <w:tcPr>
            <w:tcW w:type="dxa" w:w="2613"/>
          </w:tcPr>
          <w:p>
            <w:r>
              <w:t>主判候选（自动预筛场景）</w:t>
            </w:r>
          </w:p>
        </w:tc>
      </w:tr>
      <w:tr>
        <w:tc>
          <w:tcPr>
            <w:tcW w:type="dxa" w:w="2613"/>
          </w:tcPr>
          <w:p>
            <w:r>
              <w:t>DataAnalysis</w:t>
            </w:r>
          </w:p>
        </w:tc>
        <w:tc>
          <w:tcPr>
            <w:tcW w:type="dxa" w:w="2613"/>
          </w:tcPr>
          <w:p>
            <w:r>
              <w:t>业务可读性强、基线稳健</w:t>
            </w:r>
          </w:p>
        </w:tc>
        <w:tc>
          <w:tcPr>
            <w:tcW w:type="dxa" w:w="2613"/>
          </w:tcPr>
          <w:p>
            <w:r>
              <w:t>上限受规则表达能力限制</w:t>
            </w:r>
          </w:p>
        </w:tc>
        <w:tc>
          <w:tcPr>
            <w:tcW w:type="dxa" w:w="2613"/>
          </w:tcPr>
          <w:p>
            <w:r>
              <w:t>基线与复核支撑</w:t>
            </w:r>
          </w:p>
        </w:tc>
      </w:tr>
      <w:tr>
        <w:tc>
          <w:tcPr>
            <w:tcW w:type="dxa" w:w="2613"/>
          </w:tcPr>
          <w:p>
            <w:r>
              <w:t>BERT</w:t>
            </w:r>
          </w:p>
        </w:tc>
        <w:tc>
          <w:tcPr>
            <w:tcW w:type="dxa" w:w="2613"/>
          </w:tcPr>
          <w:p>
            <w:r>
              <w:t>文本表示能力优于传统特征工程</w:t>
            </w:r>
          </w:p>
        </w:tc>
        <w:tc>
          <w:tcPr>
            <w:tcW w:type="dxa" w:w="2613"/>
          </w:tcPr>
          <w:p>
            <w:r>
              <w:t>在当前口径下边际收益不稳定</w:t>
            </w:r>
          </w:p>
        </w:tc>
        <w:tc>
          <w:tcPr>
            <w:tcW w:type="dxa" w:w="2613"/>
          </w:tcPr>
          <w:p>
            <w:r>
              <w:t>文本增强探索</w:t>
            </w:r>
          </w:p>
        </w:tc>
      </w:tr>
      <w:tr>
        <w:tc>
          <w:tcPr>
            <w:tcW w:type="dxa" w:w="2613"/>
          </w:tcPr>
          <w:p>
            <w:r>
              <w:t>LLM（两阶段/单阶段）</w:t>
            </w:r>
          </w:p>
        </w:tc>
        <w:tc>
          <w:tcPr>
            <w:tcW w:type="dxa" w:w="2613"/>
          </w:tcPr>
          <w:p>
            <w:r>
              <w:t>解释信息丰富、可支持人工复核</w:t>
            </w:r>
          </w:p>
        </w:tc>
        <w:tc>
          <w:tcPr>
            <w:tcW w:type="dxa" w:w="2613"/>
          </w:tcPr>
          <w:p>
            <w:r>
              <w:t>拒绝率与决策稳定性波动较大</w:t>
            </w:r>
          </w:p>
        </w:tc>
        <w:tc>
          <w:tcPr>
            <w:tcW w:type="dxa" w:w="2613"/>
          </w:tcPr>
          <w:p>
            <w:r>
              <w:t>辅助解释层（暂不主判）</w:t>
            </w:r>
          </w:p>
        </w:tc>
      </w:tr>
    </w:tbl>
    <w:p>
      <w:pPr>
        <w:pStyle w:val="BodyText"/>
      </w:pPr>
      <w:r>
        <w:t>该对照强调“模型优劣与使用场景绑定”：同一模型可在某口径表现突出，但在另一口径可能因约束条件变化而不再占优。</w:t>
      </w:r>
    </w:p>
    <w:p>
      <w:pPr>
        <w:pStyle w:val="Heading2"/>
      </w:pPr>
      <w:r>
        <w:t>指标冲突下的模型选择准则</w:t>
      </w:r>
    </w:p>
    <w:p>
      <w:pPr>
        <w:pStyle w:val="BodyText"/>
      </w:pPr>
      <w:r>
        <w:t>在实际评估中，Recall(default)、Reject Rate、Approval Bad Rate 往往不会同时最优，因此需要预先定义冲突处理顺序。基于当前结果，建议采用如下优先级：</w:t>
      </w:r>
    </w:p>
    <w:p>
      <w:pPr>
        <w:pStyle w:val="BodyText"/>
      </w:pPr>
      <w:r>
        <w:t>1. **第一层（硬约束）**：先检查 RR_actual 是否满足目标拒绝率区间；不满足者仅进入扩展榜观察。</w:t>
      </w:r>
    </w:p>
    <w:p>
      <w:pPr>
        <w:pStyle w:val="BodyText"/>
      </w:pPr>
      <w:r>
        <w:t>2. **第二层（风险约束）**：在满足拒绝率约束的模型中，优先最小化 Approval Bad Rate。</w:t>
      </w:r>
    </w:p>
    <w:p>
      <w:pPr>
        <w:pStyle w:val="BodyText"/>
      </w:pPr>
      <w:r>
        <w:t>3. **第三层（增益约束）**：在前两层通过后，比较 Precision(reject) 与 Lift，选取相对随机策略收益更高者。</w:t>
      </w:r>
    </w:p>
    <w:p>
      <w:pPr>
        <w:pStyle w:val="BodyText"/>
      </w:pPr>
      <w:r>
        <w:t>4. **第四层（运营约束）**：若指标接近，则优先选择解释与复核成本更低、阈值更稳定的方案。</w:t>
      </w:r>
    </w:p>
    <w:p>
      <w:pPr>
        <w:pStyle w:val="BodyText"/>
      </w:pPr>
      <w:r>
        <w:t>可将该规则简化为下表用于汇报现场快速决策：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冲突场景</w:t>
            </w:r>
          </w:p>
        </w:tc>
        <w:tc>
          <w:tcPr>
            <w:tcW w:type="dxa" w:w="3485"/>
          </w:tcPr>
          <w:p>
            <w:r>
              <w:t>推荐判断顺序</w:t>
            </w:r>
          </w:p>
        </w:tc>
        <w:tc>
          <w:tcPr>
            <w:tcW w:type="dxa" w:w="3485"/>
          </w:tcPr>
          <w:p>
            <w:r>
              <w:t>典型处理</w:t>
            </w:r>
          </w:p>
        </w:tc>
      </w:tr>
      <w:tr>
        <w:tc>
          <w:tcPr>
            <w:tcW w:type="dxa" w:w="3485"/>
          </w:tcPr>
          <w:p>
            <w:r>
              <w:t>高召回但拒绝率过高</w:t>
            </w:r>
          </w:p>
        </w:tc>
        <w:tc>
          <w:tcPr>
            <w:tcW w:type="dxa" w:w="3485"/>
          </w:tcPr>
          <w:p>
            <w:r>
              <w:t>先看 `RR_actual` 是否越界</w:t>
            </w:r>
          </w:p>
        </w:tc>
        <w:tc>
          <w:tcPr>
            <w:tcW w:type="dxa" w:w="3485"/>
          </w:tcPr>
          <w:p>
            <w:r>
              <w:t>越界模型不入主榜，仅作策略参考</w:t>
            </w:r>
          </w:p>
        </w:tc>
      </w:tr>
      <w:tr>
        <w:tc>
          <w:tcPr>
            <w:tcW w:type="dxa" w:w="3485"/>
          </w:tcPr>
          <w:p>
            <w:r>
              <w:t>坏账率更低但增益接近</w:t>
            </w:r>
          </w:p>
        </w:tc>
        <w:tc>
          <w:tcPr>
            <w:tcW w:type="dxa" w:w="3485"/>
          </w:tcPr>
          <w:p>
            <w:r>
              <w:t>先看 `Approval Bad Rate` 再看 `Lift`</w:t>
            </w:r>
          </w:p>
        </w:tc>
        <w:tc>
          <w:tcPr>
            <w:tcW w:type="dxa" w:w="3485"/>
          </w:tcPr>
          <w:p>
            <w:r>
              <w:t>优先坏账更低者</w:t>
            </w:r>
          </w:p>
        </w:tc>
      </w:tr>
      <w:tr>
        <w:tc>
          <w:tcPr>
            <w:tcW w:type="dxa" w:w="3485"/>
          </w:tcPr>
          <w:p>
            <w:r>
              <w:t>指标相近、模型复杂度不同</w:t>
            </w:r>
          </w:p>
        </w:tc>
        <w:tc>
          <w:tcPr>
            <w:tcW w:type="dxa" w:w="3485"/>
          </w:tcPr>
          <w:p>
            <w:r>
              <w:t>加入稳定性与解释成本</w:t>
            </w:r>
          </w:p>
        </w:tc>
        <w:tc>
          <w:tcPr>
            <w:tcW w:type="dxa" w:w="3485"/>
          </w:tcPr>
          <w:p>
            <w:r>
              <w:t>选阈值更稳、治理成本更低者</w:t>
            </w:r>
          </w:p>
        </w:tc>
      </w:tr>
    </w:tbl>
    <w:p>
      <w:pPr>
        <w:pStyle w:val="BodyText"/>
      </w:pPr>
      <w:r>
        <w:t>该准则的目的不是替代实验指标，而是确保在“指标不一致”时仍能给出一致、可复核的选择结论。</w:t>
      </w:r>
    </w:p>
    <w:p>
      <w:pPr>
        <w:pStyle w:val="Heading1"/>
      </w:pPr>
      <w:r>
        <w:t>讨论与部署启示</w:t>
      </w:r>
    </w:p>
    <w:p>
      <w:pPr>
        <w:pStyle w:val="Heading2"/>
      </w:pPr>
      <w:r>
        <w:t>结果解释</w:t>
      </w:r>
    </w:p>
    <w:p>
      <w:pPr>
        <w:pStyle w:val="BodyText"/>
      </w:pPr>
      <w:r>
        <w:t>1. 共享子集中的结构化信号浓度高，压缩了文本模型边际增益。</w:t>
      </w:r>
    </w:p>
    <w:p>
      <w:pPr>
        <w:pStyle w:val="BodyText"/>
      </w:pPr>
      <w:r>
        <w:t>2. LLM 当前优势更偏解释能力，而非稳定主判能力。</w:t>
      </w:r>
    </w:p>
    <w:p>
      <w:pPr>
        <w:pStyle w:val="BodyText"/>
      </w:pPr>
      <w:r>
        <w:t>3. 在固定拒绝率约束下，DataAnalysis 与 ML(logistic_tabular) 的表现更接近“可控优化”，即在保持可解释阈值策略的同时提供稳定 Precision/Lift。</w:t>
      </w:r>
    </w:p>
    <w:p>
      <w:pPr>
        <w:pStyle w:val="BodyText"/>
      </w:pPr>
      <w:r>
        <w:t>4. 在全量分布口径中，ML(xgboost_tabular) 优势更明显，说明非线性与特征交互在真实客群中更重要。</w:t>
      </w:r>
    </w:p>
    <w:p>
      <w:pPr>
        <w:pStyle w:val="BodyText"/>
      </w:pPr>
      <w:r>
        <w:t>5. 双口径结果提示：单一数据口径结论不宜直接外推，模型结论必须绑定具体目标函数与业务约束。</w:t>
      </w:r>
    </w:p>
    <w:p>
      <w:pPr>
        <w:pStyle w:val="BodyText"/>
      </w:pPr>
      <w:r>
        <w:t>上述解释可转化为一条操作性规则：先用公平口径判定“谁在同约束下更优”，再用全量口径验证“该优选模型在真实分布下是否仍稳定”。只有两步均通过，才进入上线候选。</w:t>
      </w:r>
    </w:p>
    <w:p>
      <w:pPr>
        <w:pStyle w:val="Heading2"/>
      </w:pPr>
      <w:r>
        <w:t>项目执行反思</w:t>
      </w:r>
    </w:p>
    <w:p>
      <w:pPr>
        <w:pStyle w:val="BodyText"/>
      </w:pPr>
      <w:r>
        <w:t>1. 先定义公平比较边界，再解释模型差异。</w:t>
      </w:r>
    </w:p>
    <w:p>
      <w:pPr>
        <w:pStyle w:val="BodyText"/>
      </w:pPr>
      <w:r>
        <w:t>2. 统一切分与阈值流程，是避免比较失真的关键。</w:t>
      </w:r>
    </w:p>
    <w:p>
      <w:pPr>
        <w:pStyle w:val="BodyText"/>
      </w:pPr>
      <w:r>
        <w:t>3. 结果管理必须“先日志、后叙述”，即先固化 run_report.json 再写主文档结论。</w:t>
      </w:r>
    </w:p>
    <w:p>
      <w:pPr>
        <w:pStyle w:val="BodyText"/>
      </w:pPr>
      <w:r>
        <w:t>4. 对高波动模型应先做辅助层定位，再讨论是否进入主判，避免在评估阶段过度承诺。</w:t>
      </w:r>
    </w:p>
    <w:p>
      <w:pPr>
        <w:pStyle w:val="BodyText"/>
      </w:pPr>
      <w:r>
        <w:t>5. 双口径设计虽然增加工作量，但显著降低了“单口径误判上线策略”的风险。</w:t>
      </w:r>
    </w:p>
    <w:p>
      <w:pPr>
        <w:pStyle w:val="BodyText"/>
      </w:pPr>
      <w:r>
        <w:t>从项目管理角度看，本项目最关键的经验是把“研究问题-评估协议-产物交付”绑定在同一链路中：任何结论都必须能回溯到对应脚本、对应切分和对应指标文件。</w:t>
      </w:r>
    </w:p>
    <w:p>
      <w:pPr>
        <w:pStyle w:val="Heading2"/>
      </w:pPr>
      <w:r>
        <w:t>决策建议（按场景）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场景</w:t>
            </w:r>
          </w:p>
        </w:tc>
        <w:tc>
          <w:tcPr>
            <w:tcW w:type="dxa" w:w="2613"/>
          </w:tcPr>
          <w:p>
            <w:r>
              <w:t>推荐方案</w:t>
            </w:r>
          </w:p>
        </w:tc>
        <w:tc>
          <w:tcPr>
            <w:tcW w:type="dxa" w:w="2613"/>
          </w:tcPr>
          <w:p>
            <w:r>
              <w:t>主要依据</w:t>
            </w:r>
          </w:p>
        </w:tc>
        <w:tc>
          <w:tcPr>
            <w:tcW w:type="dxa" w:w="2613"/>
          </w:tcPr>
          <w:p>
            <w:r>
              <w:t>当前限制</w:t>
            </w:r>
          </w:p>
        </w:tc>
      </w:tr>
      <w:tr>
        <w:tc>
          <w:tcPr>
            <w:tcW w:type="dxa" w:w="2613"/>
          </w:tcPr>
          <w:p>
            <w:r>
              <w:t>高风险客群受控审批</w:t>
            </w:r>
          </w:p>
        </w:tc>
        <w:tc>
          <w:tcPr>
            <w:tcW w:type="dxa" w:w="2613"/>
          </w:tcPr>
          <w:p>
            <w:r>
              <w:t>`DataAnalysis + ML(logistic_tabular)` 双线复核</w:t>
            </w:r>
          </w:p>
        </w:tc>
        <w:tc>
          <w:tcPr>
            <w:tcW w:type="dxa" w:w="2613"/>
          </w:tcPr>
          <w:p>
            <w:r>
              <w:t>口径 A 下精度与召回更均衡</w:t>
            </w:r>
          </w:p>
        </w:tc>
        <w:tc>
          <w:tcPr>
            <w:tcW w:type="dxa" w:w="2613"/>
          </w:tcPr>
          <w:p>
            <w:r>
              <w:t>需人工复核流程配合</w:t>
            </w:r>
          </w:p>
        </w:tc>
      </w:tr>
      <w:tr>
        <w:tc>
          <w:tcPr>
            <w:tcW w:type="dxa" w:w="2613"/>
          </w:tcPr>
          <w:p>
            <w:r>
              <w:t>全量分布自动预筛</w:t>
            </w:r>
          </w:p>
        </w:tc>
        <w:tc>
          <w:tcPr>
            <w:tcW w:type="dxa" w:w="2613"/>
          </w:tcPr>
          <w:p>
            <w:r>
              <w:t>`ML(xgboost_tabular)` 主判</w:t>
            </w:r>
          </w:p>
        </w:tc>
        <w:tc>
          <w:tcPr>
            <w:tcW w:type="dxa" w:w="2613"/>
          </w:tcPr>
          <w:p>
            <w:r>
              <w:t>口径 B 下 Precision/Lift 最优</w:t>
            </w:r>
          </w:p>
        </w:tc>
        <w:tc>
          <w:tcPr>
            <w:tcW w:type="dxa" w:w="2613"/>
          </w:tcPr>
          <w:p>
            <w:r>
              <w:t>需要持续监控漂移</w:t>
            </w:r>
          </w:p>
        </w:tc>
      </w:tr>
      <w:tr>
        <w:tc>
          <w:tcPr>
            <w:tcW w:type="dxa" w:w="2613"/>
          </w:tcPr>
          <w:p>
            <w:r>
              <w:t>文本解释与复核辅助</w:t>
            </w:r>
          </w:p>
        </w:tc>
        <w:tc>
          <w:tcPr>
            <w:tcW w:type="dxa" w:w="2613"/>
          </w:tcPr>
          <w:p>
            <w:r>
              <w:t>LLM 两阶段</w:t>
            </w:r>
          </w:p>
        </w:tc>
        <w:tc>
          <w:tcPr>
            <w:tcW w:type="dxa" w:w="2613"/>
          </w:tcPr>
          <w:p>
            <w:r>
              <w:t>可提供可读理由与补充语义</w:t>
            </w:r>
          </w:p>
        </w:tc>
        <w:tc>
          <w:tcPr>
            <w:tcW w:type="dxa" w:w="2613"/>
          </w:tcPr>
          <w:p>
            <w:r>
              <w:t>主判性能仍弱于结构化基线</w:t>
            </w:r>
          </w:p>
        </w:tc>
      </w:tr>
      <w:tr>
        <w:tc>
          <w:tcPr>
            <w:tcW w:type="dxa" w:w="2613"/>
          </w:tcPr>
          <w:p>
            <w:r>
              <w:t>大模型直接主判</w:t>
            </w:r>
          </w:p>
        </w:tc>
        <w:tc>
          <w:tcPr>
            <w:tcW w:type="dxa" w:w="2613"/>
          </w:tcPr>
          <w:p>
            <w:r>
              <w:t>当前不建议</w:t>
            </w:r>
          </w:p>
        </w:tc>
        <w:tc>
          <w:tcPr>
            <w:tcW w:type="dxa" w:w="2613"/>
          </w:tcPr>
          <w:p>
            <w:r>
              <w:t>单阶段/GPT-5.2 拒绝率偏高</w:t>
            </w:r>
          </w:p>
        </w:tc>
        <w:tc>
          <w:tcPr>
            <w:tcW w:type="dxa" w:w="2613"/>
          </w:tcPr>
          <w:p>
            <w:r>
              <w:t>需先完成 RR 严格校准</w:t>
            </w:r>
          </w:p>
        </w:tc>
      </w:tr>
    </w:tbl>
    <w:p>
      <w:pPr>
        <w:pStyle w:val="Heading2"/>
      </w:pPr>
      <w:r>
        <w:t>结果传播与受众沟通</w:t>
      </w:r>
    </w:p>
    <w:p>
      <w:pPr>
        <w:pStyle w:val="BodyText"/>
      </w:pPr>
      <w:r>
        <w:t>面向学术评审强调方法严谨性与证据链完整性，面向业务听众强调拒绝率约束下的模型选择与上线风险。</w:t>
      </w:r>
    </w:p>
    <w:p>
      <w:pPr>
        <w:pStyle w:val="BodyText"/>
      </w:pPr>
      <w:r>
        <w:t>为避免同一结果被不同受众误读，建议使用“双版本表达”：</w:t>
      </w:r>
    </w:p>
    <w:p>
      <w:pPr>
        <w:pStyle w:val="BodyText"/>
      </w:pPr>
      <w:r>
        <w:t>1. **学术版表达**：突出问题设定、比较边界、假说检验与可复现性。</w:t>
      </w:r>
    </w:p>
    <w:p>
      <w:pPr>
        <w:pStyle w:val="BodyText"/>
      </w:pPr>
      <w:r>
        <w:t>2. **业务版表达**：突出拒绝率目标、坏账控制、误拒代价与监控阈值。</w:t>
      </w:r>
    </w:p>
    <w:p>
      <w:pPr>
        <w:pStyle w:val="BodyText"/>
      </w:pPr>
      <w:r>
        <w:t>建议在汇报页固定保留一张“共识页”，包含三项最小信息：RR_target、RR_actual、Approval Bad Rate。若任一缺失，听众容易把“高召回”误读为“高收益”。</w:t>
      </w:r>
    </w:p>
    <w:p>
      <w:pPr>
        <w:pStyle w:val="Heading2"/>
      </w:pPr>
      <w:r>
        <w:t>展示实施建议</w:t>
      </w:r>
    </w:p>
    <w:p>
      <w:pPr>
        <w:pStyle w:val="BodyText"/>
      </w:pPr>
      <w:r>
        <w:t>展示材料建议采用“问题-证据-决策”结构，并控制在 12-15 页：</w:t>
      </w:r>
    </w:p>
    <w:p>
      <w:pPr>
        <w:pStyle w:val="BodyText"/>
      </w:pPr>
      <w:r>
        <w:t>1. 问题定义与研究目标（1-2 页）：明确 RQ/H 与业务目标的对应关系。</w:t>
      </w:r>
    </w:p>
    <w:p>
      <w:pPr>
        <w:pStyle w:val="BodyText"/>
      </w:pPr>
      <w:r>
        <w:t>2. 数据与评估协议（2-3 页）：说明两口径、切分方式与阈值规则，先讲比较边界再讲结果。</w:t>
      </w:r>
    </w:p>
    <w:p>
      <w:pPr>
        <w:pStyle w:val="BodyText"/>
      </w:pPr>
      <w:r>
        <w:t>3. 核心结果与对比（4-5 页）：按“主榜 -&gt; 扩展榜 -&gt; 混淆矩阵 -&gt; 每千笔代价”顺序展示。</w:t>
      </w:r>
    </w:p>
    <w:p>
      <w:pPr>
        <w:pStyle w:val="BodyText"/>
      </w:pPr>
      <w:r>
        <w:t>4. 部署建议与风险控制（2-3 页）：展示模型分层使用策略与 RR_gap 监控方案。</w:t>
      </w:r>
    </w:p>
    <w:p>
      <w:pPr>
        <w:pStyle w:val="BodyText"/>
      </w:pPr>
      <w:r>
        <w:t>5. 局限与后续路线（1-2 页）：给出优先级与验收标准，避免“只有建议没有落地”。</w:t>
      </w:r>
    </w:p>
    <w:p>
      <w:pPr>
        <w:pStyle w:val="BodyText"/>
      </w:pPr>
      <w:r>
        <w:t>每页建议固定保留最小上下文：数据口径、样本规模、目标拒绝率、关键指标。这样可减少听众在翻页时丢失比较条件。</w:t>
      </w:r>
    </w:p>
    <w:p>
      <w:pPr>
        <w:pStyle w:val="BodyText"/>
      </w:pPr>
      <w:r>
        <w:t>问答准备建议聚焦四类高频问题：</w:t>
      </w:r>
    </w:p>
    <w:p>
      <w:pPr>
        <w:pStyle w:val="BodyText"/>
      </w:pPr>
      <w:r>
        <w:t>1. 为什么高召回不等于可上线最优？</w:t>
      </w:r>
    </w:p>
    <w:p>
      <w:pPr>
        <w:pStyle w:val="BodyText"/>
      </w:pPr>
      <w:r>
        <w:t>2. 为什么口径 A 与口径 B 排序不同？</w:t>
      </w:r>
    </w:p>
    <w:p>
      <w:pPr>
        <w:pStyle w:val="BodyText"/>
      </w:pPr>
      <w:r>
        <w:t>3. 为什么当前将 LLM 放在辅助层而非主判层？</w:t>
      </w:r>
    </w:p>
    <w:p>
      <w:pPr>
        <w:pStyle w:val="BodyText"/>
      </w:pPr>
      <w:r>
        <w:t>4. 如何验证上线后拒绝率与坏账率不会快速漂移？</w:t>
      </w:r>
    </w:p>
    <w:p>
      <w:pPr>
        <w:pStyle w:val="BodyText"/>
      </w:pPr>
      <w:r>
        <w:t>时间控制建议：前半段（问题与方法）控制在总时长 40%，后半段（结果、部署与局限）控制在 60%，确保核心证据和决策建议讲透。</w:t>
      </w:r>
    </w:p>
    <w:p>
      <w:pPr>
        <w:pStyle w:val="Heading2"/>
      </w:pPr>
      <w:r>
        <w:t>有效性威胁与边界</w:t>
      </w:r>
    </w:p>
    <w:p>
      <w:pPr>
        <w:pStyle w:val="BodyText"/>
      </w:pPr>
      <w:r>
        <w:t>1. 共享子集是高风险筛选样本，结论不能直接代表全量客群。</w:t>
      </w:r>
    </w:p>
    <w:p>
      <w:pPr>
        <w:pStyle w:val="BodyText"/>
      </w:pPr>
      <w:r>
        <w:t>2. 当前切分以分层随机为主，尚未完成严格时序外推检验。</w:t>
      </w:r>
    </w:p>
    <w:p>
      <w:pPr>
        <w:pStyle w:val="BodyText"/>
      </w:pPr>
      <w:r>
        <w:t>3. 当前标签口径以历史违约结果为准，可能受到经济周期与平台策略变化影响。</w:t>
      </w:r>
    </w:p>
    <w:p>
      <w:pPr>
        <w:pStyle w:val="BodyText"/>
      </w:pPr>
      <w:r>
        <w:t>4. 每千笔代价换算基于静态业务假设，真实投产中会随客群与策略调整发生漂移。</w:t>
      </w:r>
    </w:p>
    <w:p>
      <w:pPr>
        <w:pStyle w:val="BodyText"/>
      </w:pPr>
      <w:r>
        <w:t>5. LLM 路线存在阈值校准与决策稳定性问题，现阶段结论更偏“可用性评估”而非“能力上限”。</w:t>
      </w:r>
    </w:p>
    <w:p>
      <w:pPr>
        <w:pStyle w:val="BodyText"/>
      </w:pPr>
      <w:r>
        <w:t>上述威胁可归纳为三类偏差风险：样本代表性偏差、阈值稳定性偏差、业务代价估计偏差。为便于部署前审阅，建议将威胁与指标监控一一对应：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威胁类型</w:t>
            </w:r>
          </w:p>
        </w:tc>
        <w:tc>
          <w:tcPr>
            <w:tcW w:type="dxa" w:w="2613"/>
          </w:tcPr>
          <w:p>
            <w:r>
              <w:t>主要影响指标</w:t>
            </w:r>
          </w:p>
        </w:tc>
        <w:tc>
          <w:tcPr>
            <w:tcW w:type="dxa" w:w="2613"/>
          </w:tcPr>
          <w:p>
            <w:r>
              <w:t>潜在偏差方向</w:t>
            </w:r>
          </w:p>
        </w:tc>
        <w:tc>
          <w:tcPr>
            <w:tcW w:type="dxa" w:w="2613"/>
          </w:tcPr>
          <w:p>
            <w:r>
              <w:t>建议监控信号</w:t>
            </w:r>
          </w:p>
        </w:tc>
      </w:tr>
      <w:tr>
        <w:tc>
          <w:tcPr>
            <w:tcW w:type="dxa" w:w="2613"/>
          </w:tcPr>
          <w:p>
            <w:r>
              <w:t>样本代表性不足</w:t>
            </w:r>
          </w:p>
        </w:tc>
        <w:tc>
          <w:tcPr>
            <w:tcW w:type="dxa" w:w="2613"/>
          </w:tcPr>
          <w:p>
            <w:r>
              <w:t>Precision/Lift 排序</w:t>
            </w:r>
          </w:p>
        </w:tc>
        <w:tc>
          <w:tcPr>
            <w:tcW w:type="dxa" w:w="2613"/>
          </w:tcPr>
          <w:p>
            <w:r>
              <w:t>线下排序高估或低估</w:t>
            </w:r>
          </w:p>
        </w:tc>
        <w:tc>
          <w:tcPr>
            <w:tcW w:type="dxa" w:w="2613"/>
          </w:tcPr>
          <w:p>
            <w:r>
              <w:t>分客群分层指标差异、时间切片表现</w:t>
            </w:r>
          </w:p>
        </w:tc>
      </w:tr>
      <w:tr>
        <w:tc>
          <w:tcPr>
            <w:tcW w:type="dxa" w:w="2613"/>
          </w:tcPr>
          <w:p>
            <w:r>
              <w:t>阈值外推不足</w:t>
            </w:r>
          </w:p>
        </w:tc>
        <w:tc>
          <w:tcPr>
            <w:tcW w:type="dxa" w:w="2613"/>
          </w:tcPr>
          <w:p>
            <w:r>
              <w:t>Reject Rate, RR_gap</w:t>
            </w:r>
          </w:p>
        </w:tc>
        <w:tc>
          <w:tcPr>
            <w:tcW w:type="dxa" w:w="2613"/>
          </w:tcPr>
          <w:p>
            <w:r>
              <w:t>上线后拒绝率偏移</w:t>
            </w:r>
          </w:p>
        </w:tc>
        <w:tc>
          <w:tcPr>
            <w:tcW w:type="dxa" w:w="2613"/>
          </w:tcPr>
          <w:p>
            <w:r>
              <w:t>`RR_gap` 日/周趋势、阈值漂移日志</w:t>
            </w:r>
          </w:p>
        </w:tc>
      </w:tr>
      <w:tr>
        <w:tc>
          <w:tcPr>
            <w:tcW w:type="dxa" w:w="2613"/>
          </w:tcPr>
          <w:p>
            <w:r>
              <w:t>标签口径时变</w:t>
            </w:r>
          </w:p>
        </w:tc>
        <w:tc>
          <w:tcPr>
            <w:tcW w:type="dxa" w:w="2613"/>
          </w:tcPr>
          <w:p>
            <w:r>
              <w:t>Recall(default)</w:t>
            </w:r>
          </w:p>
        </w:tc>
        <w:tc>
          <w:tcPr>
            <w:tcW w:type="dxa" w:w="2613"/>
          </w:tcPr>
          <w:p>
            <w:r>
              <w:t>违约捕获率失真</w:t>
            </w:r>
          </w:p>
        </w:tc>
        <w:tc>
          <w:tcPr>
            <w:tcW w:type="dxa" w:w="2613"/>
          </w:tcPr>
          <w:p>
            <w:r>
              <w:t>新账期回溯验证、口径一致性检查</w:t>
            </w:r>
          </w:p>
        </w:tc>
      </w:tr>
      <w:tr>
        <w:tc>
          <w:tcPr>
            <w:tcW w:type="dxa" w:w="2613"/>
          </w:tcPr>
          <w:p>
            <w:r>
              <w:t>代价假设静态化</w:t>
            </w:r>
          </w:p>
        </w:tc>
        <w:tc>
          <w:tcPr>
            <w:tcW w:type="dxa" w:w="2613"/>
          </w:tcPr>
          <w:p>
            <w:r>
              <w:t>每千笔代价</w:t>
            </w:r>
          </w:p>
        </w:tc>
        <w:tc>
          <w:tcPr>
            <w:tcW w:type="dxa" w:w="2613"/>
          </w:tcPr>
          <w:p>
            <w:r>
              <w:t>风险收益评估偏差</w:t>
            </w:r>
          </w:p>
        </w:tc>
        <w:tc>
          <w:tcPr>
            <w:tcW w:type="dxa" w:w="2613"/>
          </w:tcPr>
          <w:p>
            <w:r>
              <w:t>客群结构变动、审批策略版本对比</w:t>
            </w:r>
          </w:p>
        </w:tc>
      </w:tr>
      <w:tr>
        <w:tc>
          <w:tcPr>
            <w:tcW w:type="dxa" w:w="2613"/>
          </w:tcPr>
          <w:p>
            <w:r>
              <w:t>LLM 决策波动</w:t>
            </w:r>
          </w:p>
        </w:tc>
        <w:tc>
          <w:tcPr>
            <w:tcW w:type="dxa" w:w="2613"/>
          </w:tcPr>
          <w:p>
            <w:r>
              <w:t>Reject Rate, Approval Bad Rate</w:t>
            </w:r>
          </w:p>
        </w:tc>
        <w:tc>
          <w:tcPr>
            <w:tcW w:type="dxa" w:w="2613"/>
          </w:tcPr>
          <w:p>
            <w:r>
              <w:t>决策不稳定</w:t>
            </w:r>
          </w:p>
        </w:tc>
        <w:tc>
          <w:tcPr>
            <w:tcW w:type="dxa" w:w="2613"/>
          </w:tcPr>
          <w:p>
            <w:r>
              <w:t>多批次重跑方差、提示词版本追踪</w:t>
            </w:r>
          </w:p>
        </w:tc>
      </w:tr>
    </w:tbl>
    <w:p>
      <w:pPr>
        <w:pStyle w:val="Heading2"/>
      </w:pPr>
      <w:r>
        <w:t>局限分层与改进优先级</w:t>
      </w:r>
    </w:p>
    <w:p>
      <w:pPr>
        <w:pStyle w:val="BodyText"/>
      </w:pPr>
      <w:r>
        <w:t>为避免“问题过多、改进无序”，可按影响程度分三层推进：</w:t>
      </w:r>
    </w:p>
    <w:p>
      <w:pPr>
        <w:pStyle w:val="BodyText"/>
      </w:pPr>
      <w:r>
        <w:t>1. **高优先级（直接影响上线）**：补充时间外测试与滚动窗口评估，验证阈值和拒绝率在时序变化下的稳定性。</w:t>
      </w:r>
    </w:p>
    <w:p>
      <w:pPr>
        <w:pStyle w:val="BodyText"/>
      </w:pPr>
      <w:r>
        <w:t>2. **中优先级（影响模型上限）**：在统一拒绝率约束下开展文本增强与特征融合实验，观察文本信息是否在全量分布中提供稳定增益。</w:t>
      </w:r>
    </w:p>
    <w:p>
      <w:pPr>
        <w:pStyle w:val="BodyText"/>
      </w:pPr>
      <w:r>
        <w:t>3. **低优先级（影响解释与治理）**：完善 LLM 辅助解释模板与人工复核规范，提升审计可读性和复盘效率。</w:t>
      </w:r>
    </w:p>
    <w:p>
      <w:pPr>
        <w:pStyle w:val="BodyText"/>
      </w:pPr>
      <w:r>
        <w:t>该分层策略的目标是先保证部署安全，再追求性能增益，最后提升治理与协同效率。</w:t>
      </w:r>
    </w:p>
    <w:p>
      <w:pPr>
        <w:pStyle w:val="BodyText"/>
      </w:pPr>
      <w:r>
        <w:t>为避免“有优先级但无落地”，每层建议绑定最小验收条件：</w:t>
      </w:r>
    </w:p>
    <w:p>
      <w:pPr>
        <w:pStyle w:val="BodyText"/>
      </w:pPr>
      <w:r>
        <w:t>1. **高优先级验收**：时间外测试中 RR_gap 与 Approval Bad Rate 波动保持在预设阈值内，且关键模型排序不出现反转。</w:t>
      </w:r>
    </w:p>
    <w:p>
      <w:pPr>
        <w:pStyle w:val="BodyText"/>
      </w:pPr>
      <w:r>
        <w:t>2. **中优先级验收**：在同一拒绝率约束下，文本增强或融合方案相对基线取得稳定增益，并能在重复实验中复现。</w:t>
      </w:r>
    </w:p>
    <w:p>
      <w:pPr>
        <w:pStyle w:val="BodyText"/>
      </w:pPr>
      <w:r>
        <w:t>3. **低优先级验收**：解释模板可被人工复核流程稳定使用，审计记录具备可追溯字段（模型版本、阈值版本、提示词版本）。</w:t>
      </w:r>
    </w:p>
    <w:p>
      <w:pPr>
        <w:pStyle w:val="Heading2"/>
      </w:pPr>
      <w:r>
        <w:t>后续实验路线（四阶段）</w:t>
      </w:r>
    </w:p>
    <w:p>
      <w:pPr>
        <w:pStyle w:val="BodyText"/>
      </w:pPr>
      <w:r>
        <w:t>结合当前代码与数据资产，后续实验可按“先稳再强”的四阶段推进：</w:t>
      </w:r>
    </w:p>
    <w:p>
      <w:pPr>
        <w:pStyle w:val="BodyText"/>
      </w:pPr>
      <w:r>
        <w:t>1. **阶段 1（可运行基线）**：固定现有最佳配置，复跑口径 A/B 全流程，确认日志、报告与主文档指标一致。</w:t>
      </w:r>
    </w:p>
    <w:p>
      <w:pPr>
        <w:pStyle w:val="BodyText"/>
      </w:pPr>
      <w:r>
        <w:t>2. **阶段 2（基线调优）**：仅调整学习率、阈值搜索粒度与采样策略，不改模型结构，观察 RR_gap 与 Approval Bad Rate 的稳定性。</w:t>
      </w:r>
    </w:p>
    <w:p>
      <w:pPr>
        <w:pStyle w:val="BodyText"/>
      </w:pPr>
      <w:r>
        <w:t>3. **阶段 3（方法增强）**：在统一拒绝率约束下测试文本增强或结构化-文本融合方案，重点评估是否在口径 B 产生稳定增益。</w:t>
      </w:r>
    </w:p>
    <w:p>
      <w:pPr>
        <w:pStyle w:val="BodyText"/>
      </w:pPr>
      <w:r>
        <w:t>4. **阶段 4（消融与敏感性）**：对关键组件逐项移除或替换，报告多次运行均值与波动，验证结论是否依赖单一配置。</w:t>
      </w:r>
    </w:p>
    <w:p>
      <w:pPr>
        <w:pStyle w:val="BodyText"/>
      </w:pPr>
      <w:r>
        <w:t>各阶段共同约束为：测试集不参与调参，且所有新增结论必须在对应 run_report.json 与分模型报告中可追溯。</w:t>
      </w:r>
    </w:p>
    <w:p>
      <w:pPr>
        <w:pStyle w:val="Heading2"/>
      </w:pPr>
      <w:r>
        <w:t>交付就绪检查清单</w:t>
      </w:r>
    </w:p>
    <w:p>
      <w:pPr>
        <w:pStyle w:val="BodyText"/>
      </w:pPr>
      <w:r>
        <w:t>在最终提交前，建议执行一次“研究-文档-展示”一致性检查：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检查项</w:t>
            </w:r>
          </w:p>
        </w:tc>
        <w:tc>
          <w:tcPr>
            <w:tcW w:type="dxa" w:w="3485"/>
          </w:tcPr>
          <w:p>
            <w:r>
              <w:t>通过条件</w:t>
            </w:r>
          </w:p>
        </w:tc>
        <w:tc>
          <w:tcPr>
            <w:tcW w:type="dxa" w:w="3485"/>
          </w:tcPr>
          <w:p>
            <w:r>
              <w:t>对应产物</w:t>
            </w:r>
          </w:p>
        </w:tc>
      </w:tr>
      <w:tr>
        <w:tc>
          <w:tcPr>
            <w:tcW w:type="dxa" w:w="3485"/>
          </w:tcPr>
          <w:p>
            <w:r>
              <w:t>研究问题与假说</w:t>
            </w:r>
          </w:p>
        </w:tc>
        <w:tc>
          <w:tcPr>
            <w:tcW w:type="dxa" w:w="3485"/>
          </w:tcPr>
          <w:p>
            <w:r>
              <w:t>`RQ/H` 在结果章节有直接证据</w:t>
            </w:r>
          </w:p>
        </w:tc>
        <w:tc>
          <w:tcPr>
            <w:tcW w:type="dxa" w:w="3485"/>
          </w:tcPr>
          <w:p>
            <w:r>
              <w:t>`III`, `VII.D`</w:t>
            </w:r>
          </w:p>
        </w:tc>
      </w:tr>
      <w:tr>
        <w:tc>
          <w:tcPr>
            <w:tcW w:type="dxa" w:w="3485"/>
          </w:tcPr>
          <w:p>
            <w:r>
              <w:t>实证方法规范性</w:t>
            </w:r>
          </w:p>
        </w:tc>
        <w:tc>
          <w:tcPr>
            <w:tcW w:type="dxa" w:w="3485"/>
          </w:tcPr>
          <w:p>
            <w:r>
              <w:t>无测试集调参，阈值流程一致</w:t>
            </w:r>
          </w:p>
        </w:tc>
        <w:tc>
          <w:tcPr>
            <w:tcW w:type="dxa" w:w="3485"/>
          </w:tcPr>
          <w:p>
            <w:r>
              <w:t>`V.E`, `V.F`, 脚本日志</w:t>
            </w:r>
          </w:p>
        </w:tc>
      </w:tr>
      <w:tr>
        <w:tc>
          <w:tcPr>
            <w:tcW w:type="dxa" w:w="3485"/>
          </w:tcPr>
          <w:p>
            <w:r>
              <w:t>结果可复核性</w:t>
            </w:r>
          </w:p>
        </w:tc>
        <w:tc>
          <w:tcPr>
            <w:tcW w:type="dxa" w:w="3485"/>
          </w:tcPr>
          <w:p>
            <w:r>
              <w:t>主表指标可映射到 JSON 文件</w:t>
            </w:r>
          </w:p>
        </w:tc>
        <w:tc>
          <w:tcPr>
            <w:tcW w:type="dxa" w:w="3485"/>
          </w:tcPr>
          <w:p>
            <w:r>
              <w:t>`VII` + `output/*/run_report.json`</w:t>
            </w:r>
          </w:p>
        </w:tc>
      </w:tr>
      <w:tr>
        <w:tc>
          <w:tcPr>
            <w:tcW w:type="dxa" w:w="3485"/>
          </w:tcPr>
          <w:p>
            <w:r>
              <w:t>讨论与边界完整性</w:t>
            </w:r>
          </w:p>
        </w:tc>
        <w:tc>
          <w:tcPr>
            <w:tcW w:type="dxa" w:w="3485"/>
          </w:tcPr>
          <w:p>
            <w:r>
              <w:t>局限、风险、改进路径齐备</w:t>
            </w:r>
          </w:p>
        </w:tc>
        <w:tc>
          <w:tcPr>
            <w:tcW w:type="dxa" w:w="3485"/>
          </w:tcPr>
          <w:p>
            <w:r>
              <w:t>`VIII.F`, `VIII.G`, `VIII.H`</w:t>
            </w:r>
          </w:p>
        </w:tc>
      </w:tr>
      <w:tr>
        <w:tc>
          <w:tcPr>
            <w:tcW w:type="dxa" w:w="3485"/>
          </w:tcPr>
          <w:p>
            <w:r>
              <w:t>展示可执行性</w:t>
            </w:r>
          </w:p>
        </w:tc>
        <w:tc>
          <w:tcPr>
            <w:tcW w:type="dxa" w:w="3485"/>
          </w:tcPr>
          <w:p>
            <w:r>
              <w:t>有清晰讲解顺序与问答准备</w:t>
            </w:r>
          </w:p>
        </w:tc>
        <w:tc>
          <w:tcPr>
            <w:tcW w:type="dxa" w:w="3485"/>
          </w:tcPr>
          <w:p>
            <w:r>
              <w:t>`VIII.D`, `VIII.E`</w:t>
            </w:r>
          </w:p>
        </w:tc>
      </w:tr>
    </w:tbl>
    <w:p>
      <w:pPr>
        <w:pStyle w:val="BodyText"/>
      </w:pPr>
      <w:r>
        <w:t>该清单用于确保书面报告、代码产物与最终展示三者叙述一致，避免“文档正确但无法复现”或“结果存在但无法讲清”。</w:t>
      </w:r>
    </w:p>
    <w:p>
      <w:pPr>
        <w:pStyle w:val="Heading1"/>
      </w:pPr>
      <w:r>
        <w:t>结论</w:t>
      </w:r>
    </w:p>
    <w:p>
      <w:pPr>
        <w:pStyle w:val="BodyText"/>
      </w:pPr>
      <w:r>
        <w:t>本项目完成了完整研究闭环：问题定义、文献支撑、方案设计、试点筛选、数据分析、报告固化与展示实施。核心结论如下：</w:t>
      </w:r>
    </w:p>
    <w:p>
      <w:pPr>
        <w:pStyle w:val="BodyText"/>
      </w:pPr>
      <w:r>
        <w:t>1. 在固定拒绝率公平约束下，结构化模型仍是当前最稳健主判路线。</w:t>
      </w:r>
    </w:p>
    <w:p>
      <w:pPr>
        <w:pStyle w:val="BodyText"/>
      </w:pPr>
      <w:r>
        <w:t>2. 在全量真实分布口径下，xgboost_tabular 综合表现最优。</w:t>
      </w:r>
    </w:p>
    <w:p>
      <w:pPr>
        <w:pStyle w:val="BodyText"/>
      </w:pPr>
      <w:r>
        <w:t>3. LLM 当前阶段更适合作为解释和复核辅助层，需先完成拒绝率校准后再参与主榜比较。</w:t>
      </w:r>
    </w:p>
    <w:p>
      <w:pPr>
        <w:pStyle w:val="BodyText"/>
      </w:pPr>
      <w:r>
        <w:t>为便于从“研究结论”过渡到“上线决策”，建议补充四条落地判定条件：</w:t>
      </w:r>
    </w:p>
    <w:p>
      <w:pPr>
        <w:pStyle w:val="BodyText"/>
      </w:pPr>
      <w:r>
        <w:t>1. **比较条件一致**：仅在统一口径、统一切分、统一阈值流程下比较主判模型。</w:t>
      </w:r>
    </w:p>
    <w:p>
      <w:pPr>
        <w:pStyle w:val="BodyText"/>
      </w:pPr>
      <w:r>
        <w:t>2. **阈值稳定达标**：RR_gap 持续处于可接受区间（优先 |RR_gap| &lt;= 0.01，超出则触发复标定）。</w:t>
      </w:r>
    </w:p>
    <w:p>
      <w:pPr>
        <w:pStyle w:val="BodyText"/>
      </w:pPr>
      <w:r>
        <w:t>3. **业务风险可控**：在目标拒绝率约束下，Approval Bad Rate 与每千笔代价不劣于当前生产基线。</w:t>
      </w:r>
    </w:p>
    <w:p>
      <w:pPr>
        <w:pStyle w:val="BodyText"/>
      </w:pPr>
      <w:r>
        <w:t>4. **证据链可回溯**：所有结论都可回溯至对应脚本、数据切分和 run_report.json 指标文件。</w:t>
      </w:r>
    </w:p>
    <w:p>
      <w:pPr>
        <w:pStyle w:val="BodyText"/>
      </w:pPr>
      <w:r>
        <w:t>若上述条件无法同时满足，则维持“结构化主判 + LLM 辅助解释”的分层架构，不进入大模型直接主判。</w:t>
      </w:r>
    </w:p>
    <w:p>
      <w:pPr>
        <w:pStyle w:val="Heading1"/>
      </w:pPr>
      <w:r>
        <w:t>附录 A：关键产物</w:t>
      </w:r>
    </w:p>
    <w:p>
      <w:pPr>
        <w:pStyle w:val="bulletlist"/>
      </w:pPr>
      <w:r>
        <w:t>总报告与说明：REPORT.md, README.md</w:t>
      </w:r>
    </w:p>
    <w:p>
      <w:pPr>
        <w:pStyle w:val="bulletlist"/>
      </w:pPr>
      <w:r>
        <w:t>分模型报告：ml_standalone/REPORT_ML.md, data_analysis_standalone/REPORT_DATA_ANALYSIS.md, bert_standalone/REPORT_BERT.md, llm_standalone/REPORT_LLM.md</w:t>
      </w:r>
    </w:p>
    <w:p>
      <w:pPr>
        <w:pStyle w:val="bulletlist"/>
      </w:pPr>
      <w:r>
        <w:t>核心结果：output/ml_standalone/run_report.json, output/ml_standalone_full_actual_rr/run_report.json, output/data_analysis_standalone_full_actual_rr/run_report.json</w:t>
      </w:r>
    </w:p>
    <w:p>
      <w:pPr>
        <w:pStyle w:val="bulletlist"/>
      </w:pPr>
      <w:r>
        <w:t>LLM 推理结果：output/llm_two_stage_subset_full_06b/infer/stage2_action_predictions_full.json, output/llm_one_stage_subset_full_06b/infer/stage_action_direct_predictions_full.json, output/llm_two_stage_subset_full_06b/infer/gpt52_external_metrics.json</w:t>
      </w:r>
    </w:p>
    <w:p>
      <w:pPr>
        <w:pStyle w:val="Heading5"/>
      </w:pPr>
      <w:r>
        <w:t>References</w:t>
      </w:r>
    </w:p>
    <w:p>
      <w:pPr>
        <w:pStyle w:val="references"/>
      </w:pPr>
      <w:r>
        <w:t>[1] D. J. Hand and W. E. Henley, “Statistical Classification Methods in Consumer Credit Scoring: A Review,” *JRSS A*, vol. 160, no. 3, pp. 523-541, 1997, doi: 10.1111/j.1467-985X.1997.00078.x.</w:t>
      </w:r>
    </w:p>
    <w:p>
      <w:pPr>
        <w:pStyle w:val="references"/>
      </w:pPr>
      <w:r>
        <w:t>[2] L. C. Thomas, “A survey of credit and behavioural scoring,” *International Journal of Forecasting*, vol. 16, no. 2, pp. 149-172, 2000, doi: 10.1016/S0169-2070(00)00034-0.</w:t>
      </w:r>
    </w:p>
    <w:p>
      <w:pPr>
        <w:pStyle w:val="references"/>
      </w:pPr>
      <w:r>
        <w:t>[3] G. Dorfleitner *et al*., “Description-text related soft information in peer-to-peer lending,” *Journal of Banking &amp; Finance*, vol. 64, pp. 169-187, 2016, doi: 10.1016/j.jbankfin.2015.11.009.</w:t>
      </w:r>
    </w:p>
    <w:p>
      <w:pPr>
        <w:pStyle w:val="references"/>
      </w:pPr>
      <w:r>
        <w:t>[4] C. Jiang *et al*., “Loan default prediction by combining soft information extracted from descriptive text,” *Annals of Operations Research*, vol. 266, pp. 511-529, 2018, doi: 10.1007/s10479-017-2668-z.</w:t>
      </w:r>
    </w:p>
    <w:p>
      <w:pPr>
        <w:pStyle w:val="references"/>
      </w:pPr>
      <w:r>
        <w:t>[5] J. Devlin *et al*., “BERT: Pre-training of Deep Bidirectional Transformers for Language Understanding,” in *NAACL-HLT*, 2019, pp. 4171-4186, doi: 10.18653/v1/N19-1423.</w:t>
      </w:r>
    </w:p>
    <w:p>
      <w:pPr>
        <w:pStyle w:val="references"/>
      </w:pPr>
      <w:r>
        <w:t>[6] E. J. Hu *et al*., “LoRA: Low-Rank Adaptation of Large Language Models,” arXiv:2106.09685, 2021, doi: 10.48550/arXiv.2106.09685.</w:t>
      </w:r>
    </w:p>
    <w:p>
      <w:pPr>
        <w:pStyle w:val="references"/>
      </w:pPr>
      <w:r>
        <w:t>[7] OpenAI *et al*., “GPT-4 Technical Report,” arXiv:2303.08774, 2023, doi: 10.48550/arXiv.2303.08774.</w:t>
      </w:r>
    </w:p>
    <w:p>
      <w:pPr>
        <w:pStyle w:val="references"/>
      </w:pPr>
      <w:r>
        <w:t>[8] T. Berg *et al*., “On the Rise of FinTechs: Credit Scoring Using Digital Footprints,” *Review of Financial Studies*, vol. 33, no. 7, pp. 2845-2897, 2020, doi: 10.1093/rfs/hhz099.</w:t>
      </w:r>
    </w:p>
    <w:p>
      <w:pPr>
        <w:pStyle w:val="references"/>
      </w:pPr>
      <w:r>
        <w:t>[9] LendingClub, “LendingClub Statistics and Loan Data,” [Online]. Available: https://www.lendingclub.com/info/download-data.action. [Accessed: Feb. 21, 2026].</w:t>
      </w: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720" w:num="2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7B1AF66" w14:textId="77777777" w:rsidR="00F12284" w:rsidRDefault="00F12284" w:rsidP="001A3B3D">
      <w:r>
        <w:separator/>
      </w:r>
    </w:p>
  </w:endnote>
  <w:endnote w:type="continuationSeparator" w:id="0">
    <w:p w14:paraId="4E8FDCAD" w14:textId="77777777" w:rsidR="00F12284" w:rsidRDefault="00F1228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2221F62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09A2DC3" w14:textId="77777777" w:rsidR="00F12284" w:rsidRDefault="00F12284" w:rsidP="001A3B3D">
      <w:r>
        <w:separator/>
      </w:r>
    </w:p>
  </w:footnote>
  <w:footnote w:type="continuationSeparator" w:id="0">
    <w:p w14:paraId="77E5FDEE" w14:textId="77777777" w:rsidR="00F12284" w:rsidRDefault="00F1228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2024-07-16T13:39:00Z</dcterms:created>
  <dcterms:modified xsi:type="dcterms:W3CDTF">2024-07-16T13:39:00Z</dcterms:modified>
</cp:coreProperties>
</file>