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 w:conformance="strict">
  <w:body>
    <w:p w14:paraId="18E544B0" w14:textId="77777777" w:rsidR="009303D9" w:rsidRDefault="009303D9" w:rsidP="006347CF">
      <w:pPr>
        <w:pStyle w:val="papertitle"/>
        <w:spacing w:before="5pt" w:beforeAutospacing="1" w:after="5pt" w:afterAutospacing="1"/>
      </w:pPr>
      <w:r>
        <w:t>基于借款描述文本的信用违约评估：传统模型与两阶段 LLM 的统一口径实验</w:t>
      </w:r>
    </w:p>
    <w:p w14:paraId="517AC20D" w14:textId="1F2DD9DF" w:rsidR="00D7522C" w:rsidRDefault="00D7522C" w:rsidP="00156B74">
      <w:pPr>
        <w:pStyle w:val="Author"/>
        <w:spacing w:before="5pt" w:beforeAutospacing="1" w:after="5pt" w:afterAutospacing="1"/>
        <w:rPr>
          <w:sz w:val="16"/>
          <w:szCs w:val="16"/>
        </w:rPr>
      </w:pPr>
      <w:r/>
    </w:p>
    <w:p w14:paraId="6D735D00" w14:textId="77777777" w:rsidR="00D7522C" w:rsidRPr="00CA4392" w:rsidRDefault="00D7522C" w:rsidP="00CA4392">
      <w:pPr>
        <w:pStyle w:val="Author"/>
        <w:spacing w:before="5pt" w:beforeAutospacing="1" w:after="5pt" w:afterAutospacing="1" w:line="6pt" w:lineRule="auto"/>
        <w:rPr>
          <w:sz w:val="16"/>
          <w:szCs w:val="16"/>
        </w:rPr>
        <w:sectPr w:rsidR="00D7522C" w:rsidRPr="00CA4392" w:rsidSect="001A3B3D">
          <w:footerReference w:type="first" r:id="rId8"/>
          <w:pgSz w:w="612pt" w:h="792pt" w:code="1"/>
          <w:pgMar w:top="54pt" w:right="44.65pt" w:bottom="72pt" w:left="44.65pt" w:header="36pt" w:footer="36pt" w:gutter="0pt"/>
          <w:cols w:space="36pt"/>
          <w:titlePg/>
          <w:docGrid w:linePitch="360"/>
        </w:sectPr>
      </w:pPr>
    </w:p>
    <w:p w14:paraId="7DC3BD49" w14:textId="77777777" w:rsidR="001A3B3D" w:rsidRPr="006347CF" w:rsidRDefault="009303D9" w:rsidP="006347CF">
      <w:pPr>
        <w:pStyle w:val="Author"/>
        <w:spacing w:before="5pt" w:beforeAutospacing="1"/>
        <w:rPr>
          <w:sz w:val="18"/>
          <w:szCs w:val="18"/>
        </w:rPr>
        <w:sectPr w:rsidR="001A3B3D" w:rsidRPr="006347CF" w:rsidSect="00F847A6">
          <w:type w:val="continuous"/>
          <w:pgSz w:w="612pt" w:h="792pt" w:code="1"/>
          <w:pgMar w:top="54pt" w:right="44.65pt" w:bottom="72pt" w:left="44.65pt" w:header="36pt" w:footer="36pt" w:gutter="0pt"/>
          <w:cols w:num="2" w:space="720"/>
          <w:docGrid w:linePitch="360"/>
        </w:sectPr>
      </w:pPr>
      <w:r>
        <w:t>作者：&lt;姓名/学号&gt;</w:t>
        <w:br/>
        <w:t>课程：6800 Final Project</w:t>
        <w:br/>
        <w:t>日期：2026-02-21</w:t>
      </w:r>
    </w:p>
    <w:p w14:paraId="59419620" w14:textId="77777777" w:rsidR="00D72D06" w:rsidRPr="005B520E" w:rsidRDefault="00D72D06"/>
    <w:p w14:paraId="44292629" w14:textId="77777777" w:rsidR="009303D9" w:rsidRPr="005B520E" w:rsidRDefault="009303D9">
      <w:pPr>
        <w:sectPr w:rsidR="009303D9" w:rsidRPr="005B520E">
          <w:type w:val="continuous"/>
          <w:pgSz w:w="612pt" w:h="792pt" w:code="1"/>
          <w:pgMar w:top="54pt" w:right="44.65pt" w:bottom="72pt" w:left="44.65pt" w:header="36pt" w:footer="36pt" w:gutter="0pt"/>
          <w:cols w:space="720" w:num="2"/>
          <w:docGrid w:linePitch="360"/>
        </w:sectPr>
      </w:pPr>
    </w:p>
    <w:p w14:paraId="79A9D93E" w14:textId="77777777" w:rsidR="00715BEA" w:rsidRDefault="00715BEA" w:rsidP="00CA4392">
      <w:pPr>
        <w:pStyle w:val="Author"/>
        <w:spacing w:before="5pt" w:beforeAutospacing="1"/>
        <w:rPr>
          <w:sz w:val="18"/>
          <w:szCs w:val="18"/>
        </w:rPr>
      </w:pPr>
    </w:p>
    <w:p w14:paraId="04002460" w14:textId="77777777" w:rsidR="00715BEA" w:rsidRDefault="00715BEA" w:rsidP="00CA4392">
      <w:pPr>
        <w:pStyle w:val="Author"/>
        <w:spacing w:before="5pt" w:beforeAutospacing="1"/>
        <w:rPr>
          <w:sz w:val="18"/>
          <w:szCs w:val="18"/>
        </w:rPr>
      </w:pPr>
    </w:p>
    <w:p w14:paraId="14802C4D" w14:textId="77777777" w:rsidR="00715BEA" w:rsidRDefault="00715BEA" w:rsidP="00CA4392">
      <w:pPr>
        <w:pStyle w:val="Author"/>
        <w:spacing w:before="5pt" w:beforeAutospacing="1"/>
        <w:rPr>
          <w:sz w:val="18"/>
          <w:szCs w:val="18"/>
        </w:rPr>
      </w:pPr>
    </w:p>
    <w:p w14:paraId="53B284A1" w14:textId="77777777" w:rsidR="00CA4392" w:rsidRDefault="00CA4392" w:rsidP="00CA4392">
      <w:pPr>
        <w:pStyle w:val="Author"/>
        <w:spacing w:before="5pt" w:beforeAutospacing="1"/>
        <w:contextualSpacing/>
        <w:rPr>
          <w:sz w:val="18"/>
          <w:szCs w:val="18"/>
        </w:rPr>
      </w:pPr>
    </w:p>
    <w:p w14:paraId="0296F7C6" w14:textId="77777777" w:rsidR="00CA4392" w:rsidRDefault="00CA4392" w:rsidP="00CA4392">
      <w:pPr>
        <w:pStyle w:val="Author"/>
        <w:spacing w:before="5pt" w:beforeAutospacing="1"/>
        <w:contextualSpacing/>
        <w:rPr>
          <w:sz w:val="18"/>
          <w:szCs w:val="18"/>
        </w:rPr>
      </w:pPr>
    </w:p>
    <w:p w14:paraId="74AC0DE4" w14:textId="77777777" w:rsidR="00CA4392" w:rsidRDefault="00CA4392" w:rsidP="00CA4392">
      <w:pPr>
        <w:pStyle w:val="Author"/>
        <w:spacing w:before="5pt" w:beforeAutospacing="1"/>
        <w:contextualSpacing/>
        <w:rPr>
          <w:sz w:val="18"/>
          <w:szCs w:val="18"/>
        </w:rPr>
      </w:pPr>
    </w:p>
    <w:p w14:paraId="079DCF0E" w14:textId="77777777" w:rsidR="00CA4392" w:rsidRDefault="00CA4392" w:rsidP="00CA4392">
      <w:pPr>
        <w:pStyle w:val="Author"/>
        <w:spacing w:before="5pt" w:beforeAutospacing="1"/>
        <w:contextualSpacing/>
        <w:rPr>
          <w:sz w:val="18"/>
          <w:szCs w:val="18"/>
        </w:rPr>
      </w:pPr>
    </w:p>
    <w:p w14:paraId="4C1D13CB" w14:textId="77777777" w:rsidR="00CA4392" w:rsidRDefault="00CA4392" w:rsidP="00CA4392">
      <w:pPr>
        <w:pStyle w:val="Author"/>
        <w:spacing w:before="5pt" w:beforeAutospacing="1"/>
        <w:contextualSpacing/>
        <w:rPr>
          <w:sz w:val="18"/>
          <w:szCs w:val="18"/>
        </w:rPr>
      </w:pPr>
    </w:p>
    <w:p w14:paraId="128D2612" w14:textId="77777777" w:rsidR="00CA4392" w:rsidRPr="00F847A6" w:rsidRDefault="00CA4392" w:rsidP="00CA4392">
      <w:pPr>
        <w:pStyle w:val="Author"/>
        <w:spacing w:before="5pt" w:beforeAutospacing="1"/>
        <w:rPr>
          <w:sz w:val="16"/>
          <w:szCs w:val="16"/>
        </w:rPr>
        <w:sectPr w:rsidR="00CA4392" w:rsidRPr="00F847A6" w:rsidSect="00F847A6">
          <w:type w:val="continuous"/>
          <w:pgSz w:w="612pt" w:h="792pt" w:code="1"/>
          <w:pgMar w:top="54pt" w:right="44.65pt" w:bottom="72pt" w:left="44.65pt" w:header="36pt" w:footer="36pt" w:gutter="0pt"/>
          <w:cols w:num="2" w:space="720"/>
          <w:docGrid w:linePitch="360"/>
        </w:sectPr>
      </w:pPr>
    </w:p>
    <w:p w14:paraId="4BFA336A" w14:textId="77777777" w:rsidR="006347CF" w:rsidRDefault="006347CF" w:rsidP="00CA4392">
      <w:pPr>
        <w:pStyle w:val="Author"/>
        <w:spacing w:before="5pt" w:beforeAutospacing="1"/>
        <w:jc w:val="both"/>
        <w:rPr>
          <w:sz w:val="16"/>
          <w:szCs w:val="16"/>
        </w:rPr>
      </w:pPr>
    </w:p>
    <w:p w14:paraId="58935029" w14:textId="77777777" w:rsidR="006347CF" w:rsidRPr="00F847A6" w:rsidRDefault="006347CF" w:rsidP="00CA4392">
      <w:pPr>
        <w:pStyle w:val="Author"/>
        <w:spacing w:before="5pt" w:beforeAutospacing="1"/>
        <w:jc w:val="both"/>
        <w:rPr>
          <w:sz w:val="16"/>
          <w:szCs w:val="16"/>
        </w:rPr>
        <w:sectPr w:rsidR="006347CF" w:rsidRPr="00F847A6" w:rsidSect="00F847A6">
          <w:type w:val="continuous"/>
          <w:pgSz w:w="612pt" w:h="792pt" w:code="1"/>
          <w:pgMar w:top="54pt" w:right="44.65pt" w:bottom="72pt" w:left="44.65pt" w:header="36pt" w:footer="36pt" w:gutter="0pt"/>
          <w:cols w:num="2" w:space="720"/>
          <w:docGrid w:linePitch="360"/>
        </w:sectPr>
      </w:pPr>
    </w:p>
    <w:p w14:paraId="267708E4" w14:textId="77777777" w:rsidR="004D72B5" w:rsidRDefault="009303D9" w:rsidP="00972203">
      <w:pPr>
        <w:pStyle w:val="Abstract"/>
        <w:rPr>
          <w:i/>
          <w:iCs/>
        </w:rPr>
      </w:pPr>
      <w:r>
        <w:t>摘要—</w:t>
      </w:r>
    </w:p>
    <w:p w14:paraId="3F9CDE0E" w14:textId="77777777" w:rsidR="009303D9" w:rsidRPr="004D72B5" w:rsidRDefault="004D72B5" w:rsidP="00972203">
      <w:pPr>
        <w:pStyle w:val="Keywords"/>
      </w:pPr>
      <w:r>
        <w:t>关键词—</w:t>
      </w:r>
    </w:p>
    <w:p>
      <w:pPr>
        <w:pStyle w:val="Heading1"/>
      </w:pPr>
      <w:r>
        <w:t>摘要 (Abstract)</w:t>
      </w:r>
    </w:p>
    <w:p>
      <w:pPr>
        <w:pStyle w:val="BodyText"/>
      </w:pPr>
      <w:r>
        <w:t>本文研究借款描述文本在信用违约预测中的增量价值。我们在统一代码与切分条件下，使用两套口径评估：共享高风险子集（n=7108，RR=35%）的公平横评，以及全量样本（n=123,202，RR=0.1533）的业务口径。口径 A 中，DataAnalysis 与 logistic_tabular 最稳健（Precision@RR=0.4175/0.4154），两阶段 LLM 为 0.3653；单阶段 LLM 与 GPT-5.2 虽召回更高，但拒绝率偏移明显（0.6097/0.8228），不满足同约束比较。口径 B 中，xgboost_tabular 综合最优（Precision@RR=0.3153, Lift=2.0568）。结论是：当前阶段结构化模型仍应作为主判，LLM 更适合作为解释与复核辅助层，并需先完成拒绝率校准。</w:t>
      </w:r>
    </w:p>
    <w:p>
      <w:pPr>
        <w:pStyle w:val="BodyText"/>
      </w:pPr>
      <w:r>
        <w:t>**关键词 (Keywords)**: Credit Risk, LendingClub, Soft Information, P2P Lending, LLM, Fixed Reject Rate, Reproducibility</w:t>
      </w:r>
    </w:p>
    <w:p>
      <w:pPr>
        <w:pStyle w:val="Heading1"/>
      </w:pPr>
      <w:r>
        <w:t>引言 (Introduction)</w:t>
      </w:r>
    </w:p>
    <w:p>
      <w:pPr>
        <w:pStyle w:val="BodyText"/>
      </w:pPr>
      <w:r>
        <w:t>信用风险建模是零售信贷的核心任务。经典信用评分与机器学习方法已形成成熟范式 [1]-[4]，但在 P2P 借贷中，结构化字段难以完全覆盖借款人的真实风险，文本软信息因此具有补充价值 [6]-[10]。随着 Transformer/BERT/LoRA 等技术发展 [18]-[20]，文本建模能力提升明显，但其离线优势能否转化为可部署收益仍需在业务约束下验证。</w:t>
      </w:r>
    </w:p>
    <w:p>
      <w:pPr>
        <w:pStyle w:val="BodyText"/>
      </w:pPr>
      <w:r>
        <w:t>本文关注固定拒绝率（Reject Rate）下的可复现实证：在同数据、同切分、同阈值流程下，文本模型是否稳定优于结构化基线。为避免单口径误判，本文同时报告共享子集 RR=35% 与全量口径 RR=0.1533。</w:t>
      </w:r>
    </w:p>
    <w:p>
      <w:pPr>
        <w:pStyle w:val="BodyText"/>
      </w:pPr>
      <w:r>
        <w:t>本文贡献如下：</w:t>
      </w:r>
    </w:p>
    <w:p>
      <w:pPr>
        <w:pStyle w:val="BodyText"/>
      </w:pPr>
      <w:r>
        <w:t>1. 构建覆盖 DataAnalysis/ML/BERT/LLM/GPT-5.2 的统一评估框架。</w:t>
      </w:r>
    </w:p>
    <w:p>
      <w:pPr>
        <w:pStyle w:val="BodyText"/>
      </w:pPr>
      <w:r>
        <w:t>2. 提供双口径结果，并补充拒绝率扫描、阈值敏感性与 Bootstrap CI。</w:t>
      </w:r>
    </w:p>
    <w:p>
      <w:pPr>
        <w:pStyle w:val="BodyText"/>
      </w:pPr>
      <w:r>
        <w:t>3. 给出“结构化主判 + LLM 辅助”的可解释结论，并与代码产物一一对齐。</w:t>
      </w:r>
    </w:p>
    <w:p>
      <w:pPr>
        <w:pStyle w:val="Heading1"/>
      </w:pPr>
      <w:r>
        <w:t>主题描述与范围 (Topic Description and Scope)</w:t>
      </w:r>
    </w:p>
    <w:p>
      <w:pPr>
        <w:pStyle w:val="Heading2"/>
      </w:pPr>
      <w:r>
        <w:t>综述主题与重要性</w:t>
      </w:r>
    </w:p>
    <w:p>
      <w:pPr>
        <w:pStyle w:val="BodyText"/>
      </w:pPr>
      <w:r>
        <w:t>本文聚焦“借款文本软信息对违约预测的增量价值”。其意义在于：结构化字段存在信息盲区，而文本可补充还款意愿与风险语义；同时文本解释可直接服务人工复核。文献演进从结构化评分延伸到深度文本和 LLM [1]-[21]，因此本文强调“业务约束下的可比评估”，而非单纯离线分数比较。</w:t>
      </w:r>
    </w:p>
    <w:p>
      <w:pPr>
        <w:pStyle w:val="Heading2"/>
      </w:pPr>
      <w:r>
        <w:t>研究问题（RQs）</w:t>
      </w:r>
    </w:p>
    <w:p>
      <w:pPr>
        <w:pStyle w:val="BodyText"/>
      </w:pPr>
      <w:r>
        <w:t>1. RQ1：文本增强模型在统一口径下是否稳定优于结构化基线？</w:t>
      </w:r>
    </w:p>
    <w:p>
      <w:pPr>
        <w:pStyle w:val="BodyText"/>
      </w:pPr>
      <w:r>
        <w:t>2. RQ2：固定拒绝率约束是否改变模型排序？</w:t>
      </w:r>
    </w:p>
    <w:p>
      <w:pPr>
        <w:pStyle w:val="BodyText"/>
      </w:pPr>
      <w:r>
        <w:t>3. RQ3：两阶段 LLM 重标定能否带来可见业务收益？</w:t>
      </w:r>
    </w:p>
    <w:p>
      <w:pPr>
        <w:pStyle w:val="BodyText"/>
      </w:pPr>
      <w:r>
        <w:t>4. RQ4：LLM 在当前实现下更适合主判还是辅助解释？</w:t>
      </w:r>
    </w:p>
    <w:p>
      <w:pPr>
        <w:pStyle w:val="Heading2"/>
      </w:pPr>
      <w:r>
        <w:t>不在本文范围 (Out of Scope)</w:t>
      </w:r>
    </w:p>
    <w:p>
      <w:pPr>
        <w:pStyle w:val="BodyText"/>
      </w:pPr>
      <w:r>
        <w:t>本文不展开反欺诈任务、贷后催收优化、宏观压力测试、多模态/隐私计算实现等议题，以保持“违约预测 + 固定拒绝率评估”主线聚焦。</w:t>
      </w:r>
    </w:p>
    <w:p>
      <w:pPr>
        <w:pStyle w:val="Heading1"/>
      </w:pPr>
      <w:r>
        <w:t>文献综述与综合分析 (Literature Review and Synthesis)</w:t>
      </w:r>
    </w:p>
    <w:p>
      <w:pPr>
        <w:pStyle w:val="Heading2"/>
      </w:pPr>
      <w:r>
        <w:t>经典信用评分与机器学习基线</w:t>
      </w:r>
    </w:p>
    <w:p>
      <w:pPr>
        <w:pStyle w:val="BodyText"/>
      </w:pPr>
      <w:r>
        <w:t>经典研究建立了信用评分与可比较评估范式 [1]-[4]，XGBoost 等方法推动了工程化应用 [5]。这一阶段对本文的启发是：比较必须在同样本、同指标、同验证流程下进行。</w:t>
      </w:r>
    </w:p>
    <w:p>
      <w:pPr>
        <w:pStyle w:val="Heading2"/>
      </w:pPr>
      <w:r>
        <w:t>P2P 借贷中的信息不对称与软信息</w:t>
      </w:r>
    </w:p>
    <w:p>
      <w:pPr>
        <w:pStyle w:val="BodyText"/>
      </w:pPr>
      <w:r>
        <w:t>P2P 场景的信息不对称更突出。相关研究证明社交关系与文本软信息可补充传统结构化因子 [6]-[10]，研究重点由“纯硬信息评分”转向“硬信息 + 软信息”联合建模。</w:t>
      </w:r>
    </w:p>
    <w:p>
      <w:pPr>
        <w:pStyle w:val="Heading2"/>
      </w:pPr>
      <w:r>
        <w:t>文本软信息建模：从特征工程到深度语义</w:t>
      </w:r>
    </w:p>
    <w:p>
      <w:pPr>
        <w:pStyle w:val="BodyText"/>
      </w:pPr>
      <w:r>
        <w:t>文本建模从词频/主题特征逐步发展到深度语义表示，普遍报告了文本增益 [11]-[16]。但增益强弱受样本规模、文本质量和评估口径影响，在固定阈值与运营稳定性约束下，离线提升不一定等价于上线收益。</w:t>
      </w:r>
    </w:p>
    <w:p>
      <w:pPr>
        <w:pStyle w:val="Heading2"/>
      </w:pPr>
      <w:r>
        <w:t>LLM 阶段：能力扩展与落地约束</w:t>
      </w:r>
    </w:p>
    <w:p>
      <w:pPr>
        <w:pStyle w:val="BodyText"/>
      </w:pPr>
      <w:r>
        <w:t>LLM 提升了语义理解与解释生成能力 [18]-[21]，并开始进入金融风险管理研究 [17], [22]。但落地仍受三类约束：拒绝率可控性、误差结构可接受性、教师信号质量。</w:t>
      </w:r>
    </w:p>
    <w:p>
      <w:pPr>
        <w:pStyle w:val="Heading2"/>
      </w:pPr>
      <w:r>
        <w:t>文献综合：阶段演进与局限传递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c>
          <w:tcPr>
            <w:tcW w:type="dxa" w:w="2091"/>
          </w:tcPr>
          <w:p>
            <w:r>
              <w:t>阶段</w:t>
            </w:r>
          </w:p>
        </w:tc>
        <w:tc>
          <w:tcPr>
            <w:tcW w:type="dxa" w:w="2091"/>
          </w:tcPr>
          <w:p>
            <w:r>
              <w:t>代表文献</w:t>
            </w:r>
          </w:p>
        </w:tc>
        <w:tc>
          <w:tcPr>
            <w:tcW w:type="dxa" w:w="2091"/>
          </w:tcPr>
          <w:p>
            <w:r>
              <w:t>主要贡献</w:t>
            </w:r>
          </w:p>
        </w:tc>
        <w:tc>
          <w:tcPr>
            <w:tcW w:type="dxa" w:w="2091"/>
          </w:tcPr>
          <w:p>
            <w:r>
              <w:t>典型局限</w:t>
            </w:r>
          </w:p>
        </w:tc>
        <w:tc>
          <w:tcPr>
            <w:tcW w:type="dxa" w:w="2091"/>
          </w:tcPr>
          <w:p>
            <w:r>
              <w:t>后续阶段如何改进</w:t>
            </w:r>
          </w:p>
        </w:tc>
      </w:tr>
      <w:tr>
        <w:tc>
          <w:tcPr>
            <w:tcW w:type="dxa" w:w="2091"/>
          </w:tcPr>
          <w:p>
            <w:r>
              <w:t>经典评分</w:t>
            </w:r>
          </w:p>
        </w:tc>
        <w:tc>
          <w:tcPr>
            <w:tcW w:type="dxa" w:w="2091"/>
          </w:tcPr>
          <w:p>
            <w:r>
              <w:t>[1], [2], [3], [4]</w:t>
            </w:r>
          </w:p>
        </w:tc>
        <w:tc>
          <w:tcPr>
            <w:tcW w:type="dxa" w:w="2091"/>
          </w:tcPr>
          <w:p>
            <w:r>
              <w:t>建立信用评分评估范式与基线</w:t>
            </w:r>
          </w:p>
        </w:tc>
        <w:tc>
          <w:tcPr>
            <w:tcW w:type="dxa" w:w="2091"/>
          </w:tcPr>
          <w:p>
            <w:r>
              <w:t>对软信息覆盖不足</w:t>
            </w:r>
          </w:p>
        </w:tc>
        <w:tc>
          <w:tcPr>
            <w:tcW w:type="dxa" w:w="2091"/>
          </w:tcPr>
          <w:p>
            <w:r>
              <w:t>引入平台行为与软信息</w:t>
            </w:r>
          </w:p>
        </w:tc>
      </w:tr>
      <w:tr>
        <w:tc>
          <w:tcPr>
            <w:tcW w:type="dxa" w:w="2091"/>
          </w:tcPr>
          <w:p>
            <w:r>
              <w:t>P2P 实证</w:t>
            </w:r>
          </w:p>
        </w:tc>
        <w:tc>
          <w:tcPr>
            <w:tcW w:type="dxa" w:w="2091"/>
          </w:tcPr>
          <w:p>
            <w:r>
              <w:t>[6], [7], [8], [9], [10]</w:t>
            </w:r>
          </w:p>
        </w:tc>
        <w:tc>
          <w:tcPr>
            <w:tcW w:type="dxa" w:w="2091"/>
          </w:tcPr>
          <w:p>
            <w:r>
              <w:t>证明信息不对称与软筛选存在</w:t>
            </w:r>
          </w:p>
        </w:tc>
        <w:tc>
          <w:tcPr>
            <w:tcW w:type="dxa" w:w="2091"/>
          </w:tcPr>
          <w:p>
            <w:r>
              <w:t>文本利用深度不足</w:t>
            </w:r>
          </w:p>
        </w:tc>
        <w:tc>
          <w:tcPr>
            <w:tcW w:type="dxa" w:w="2091"/>
          </w:tcPr>
          <w:p>
            <w:r>
              <w:t>文本语义建模与融合</w:t>
            </w:r>
          </w:p>
        </w:tc>
      </w:tr>
      <w:tr>
        <w:tc>
          <w:tcPr>
            <w:tcW w:type="dxa" w:w="2091"/>
          </w:tcPr>
          <w:p>
            <w:r>
              <w:t>文本特征工程</w:t>
            </w:r>
          </w:p>
        </w:tc>
        <w:tc>
          <w:tcPr>
            <w:tcW w:type="dxa" w:w="2091"/>
          </w:tcPr>
          <w:p>
            <w:r>
              <w:t>[11], [12], [13], [14]</w:t>
            </w:r>
          </w:p>
        </w:tc>
        <w:tc>
          <w:tcPr>
            <w:tcW w:type="dxa" w:w="2091"/>
          </w:tcPr>
          <w:p>
            <w:r>
              <w:t>量化文本增量价值</w:t>
            </w:r>
          </w:p>
        </w:tc>
        <w:tc>
          <w:tcPr>
            <w:tcW w:type="dxa" w:w="2091"/>
          </w:tcPr>
          <w:p>
            <w:r>
              <w:t>语义表达能力受限</w:t>
            </w:r>
          </w:p>
        </w:tc>
        <w:tc>
          <w:tcPr>
            <w:tcW w:type="dxa" w:w="2091"/>
          </w:tcPr>
          <w:p>
            <w:r>
              <w:t>深度文本与上下文建模</w:t>
            </w:r>
          </w:p>
        </w:tc>
      </w:tr>
      <w:tr>
        <w:tc>
          <w:tcPr>
            <w:tcW w:type="dxa" w:w="2091"/>
          </w:tcPr>
          <w:p>
            <w:r>
              <w:t>深度文本</w:t>
            </w:r>
          </w:p>
        </w:tc>
        <w:tc>
          <w:tcPr>
            <w:tcW w:type="dxa" w:w="2091"/>
          </w:tcPr>
          <w:p>
            <w:r>
              <w:t>[15], [16]</w:t>
            </w:r>
          </w:p>
        </w:tc>
        <w:tc>
          <w:tcPr>
            <w:tcW w:type="dxa" w:w="2091"/>
          </w:tcPr>
          <w:p>
            <w:r>
              <w:t>提升上下文建模与泛化能力</w:t>
            </w:r>
          </w:p>
        </w:tc>
        <w:tc>
          <w:tcPr>
            <w:tcW w:type="dxa" w:w="2091"/>
          </w:tcPr>
          <w:p>
            <w:r>
              <w:t>解释与阈值控制仍困难</w:t>
            </w:r>
          </w:p>
        </w:tc>
        <w:tc>
          <w:tcPr>
            <w:tcW w:type="dxa" w:w="2091"/>
          </w:tcPr>
          <w:p>
            <w:r>
              <w:t>LLM + 参数高效微调</w:t>
            </w:r>
          </w:p>
        </w:tc>
      </w:tr>
      <w:tr>
        <w:tc>
          <w:tcPr>
            <w:tcW w:type="dxa" w:w="2091"/>
          </w:tcPr>
          <w:p>
            <w:r>
              <w:t>LLM 应用</w:t>
            </w:r>
          </w:p>
        </w:tc>
        <w:tc>
          <w:tcPr>
            <w:tcW w:type="dxa" w:w="2091"/>
          </w:tcPr>
          <w:p>
            <w:r>
              <w:t>[17], [18], [19], [20], [21]</w:t>
            </w:r>
          </w:p>
        </w:tc>
        <w:tc>
          <w:tcPr>
            <w:tcW w:type="dxa" w:w="2091"/>
          </w:tcPr>
          <w:p>
            <w:r>
              <w:t>强语义理解与解释生成</w:t>
            </w:r>
          </w:p>
        </w:tc>
        <w:tc>
          <w:tcPr>
            <w:tcW w:type="dxa" w:w="2091"/>
          </w:tcPr>
          <w:p>
            <w:r>
              <w:t>业务稳定性与校准难题</w:t>
            </w:r>
          </w:p>
        </w:tc>
        <w:tc>
          <w:tcPr>
            <w:tcW w:type="dxa" w:w="2091"/>
          </w:tcPr>
          <w:p>
            <w:r>
              <w:t>强化校准、蒸馏与人机协同</w:t>
            </w:r>
          </w:p>
        </w:tc>
      </w:tr>
    </w:tbl>
    <w:p>
      <w:pPr>
        <w:pStyle w:val="Heading2"/>
      </w:pPr>
      <w:r>
        <w:t>方法比较：为何同为“文本模型”结论仍不一致</w:t>
      </w:r>
    </w:p>
    <w:p>
      <w:pPr>
        <w:pStyle w:val="BodyText"/>
      </w:pPr>
      <w:r>
        <w:t>文本收益结论不一致的主要原因通常是任务定义与评估协议差异，而非模型“代际差异”。为避免跨口径误导，本文将关键差异归纳为四类：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</w:tcPr>
          <w:p>
            <w:r>
              <w:t>比较维度</w:t>
            </w:r>
          </w:p>
        </w:tc>
        <w:tc>
          <w:tcPr>
            <w:tcW w:type="dxa" w:w="3485"/>
          </w:tcPr>
          <w:p>
            <w:r>
              <w:t>常见做法差异</w:t>
            </w:r>
          </w:p>
        </w:tc>
        <w:tc>
          <w:tcPr>
            <w:tcW w:type="dxa" w:w="3485"/>
          </w:tcPr>
          <w:p>
            <w:r>
              <w:t>对结论的影响</w:t>
            </w:r>
          </w:p>
        </w:tc>
      </w:tr>
      <w:tr>
        <w:tc>
          <w:tcPr>
            <w:tcW w:type="dxa" w:w="3485"/>
          </w:tcPr>
          <w:p>
            <w:r>
              <w:t>标签策略</w:t>
            </w:r>
          </w:p>
        </w:tc>
        <w:tc>
          <w:tcPr>
            <w:tcW w:type="dxa" w:w="3485"/>
          </w:tcPr>
          <w:p>
            <w:r>
              <w:t>是否只保留 Fully Paid / Charged Off，是否混入进行中贷款</w:t>
            </w:r>
          </w:p>
        </w:tc>
        <w:tc>
          <w:tcPr>
            <w:tcW w:type="dxa" w:w="3485"/>
          </w:tcPr>
          <w:p>
            <w:r>
              <w:t>混入未终局样本会引入标签噪声，夸大或掩盖文本贡献</w:t>
            </w:r>
          </w:p>
        </w:tc>
      </w:tr>
      <w:tr>
        <w:tc>
          <w:tcPr>
            <w:tcW w:type="dxa" w:w="3485"/>
          </w:tcPr>
          <w:p>
            <w:r>
              <w:t>评估口径</w:t>
            </w:r>
          </w:p>
        </w:tc>
        <w:tc>
          <w:tcPr>
            <w:tcW w:type="dxa" w:w="3485"/>
          </w:tcPr>
          <w:p>
            <w:r>
              <w:t>AUC/PR-AUC vs 固定拒绝率业务指标</w:t>
            </w:r>
          </w:p>
        </w:tc>
        <w:tc>
          <w:tcPr>
            <w:tcW w:type="dxa" w:w="3485"/>
          </w:tcPr>
          <w:p>
            <w:r>
              <w:t>仅看排序指标可能高估上线可用性</w:t>
            </w:r>
          </w:p>
        </w:tc>
      </w:tr>
      <w:tr>
        <w:tc>
          <w:tcPr>
            <w:tcW w:type="dxa" w:w="3485"/>
          </w:tcPr>
          <w:p>
            <w:r>
              <w:t>文本粒度</w:t>
            </w:r>
          </w:p>
        </w:tc>
        <w:tc>
          <w:tcPr>
            <w:tcW w:type="dxa" w:w="3485"/>
          </w:tcPr>
          <w:p>
            <w:r>
              <w:t>标题短文本、描述长文本、二者融合</w:t>
            </w:r>
          </w:p>
        </w:tc>
        <w:tc>
          <w:tcPr>
            <w:tcW w:type="dxa" w:w="3485"/>
          </w:tcPr>
          <w:p>
            <w:r>
              <w:t>长文本更富信息，但训练难度与噪声控制要求更高</w:t>
            </w:r>
          </w:p>
        </w:tc>
      </w:tr>
      <w:tr>
        <w:tc>
          <w:tcPr>
            <w:tcW w:type="dxa" w:w="3485"/>
          </w:tcPr>
          <w:p>
            <w:r>
              <w:t>特征融合</w:t>
            </w:r>
          </w:p>
        </w:tc>
        <w:tc>
          <w:tcPr>
            <w:tcW w:type="dxa" w:w="3485"/>
          </w:tcPr>
          <w:p>
            <w:r>
              <w:t>早期拼接 vs 联合训练 vs 两阶段决策</w:t>
            </w:r>
          </w:p>
        </w:tc>
        <w:tc>
          <w:tcPr>
            <w:tcW w:type="dxa" w:w="3485"/>
          </w:tcPr>
          <w:p>
            <w:r>
              <w:t>融合方式决定结构化强信号是否被文本有效补充</w:t>
            </w:r>
          </w:p>
        </w:tc>
      </w:tr>
    </w:tbl>
    <w:p>
      <w:pPr>
        <w:pStyle w:val="BodyText"/>
      </w:pPr>
      <w:r>
        <w:t>既有研究多基于离线分类指标 [10], [11], [16]；当评估切换到固定拒绝率与放行坏账率时，排序可能迁移。本文即围绕这一“指标迁移 -&gt; 结论迁移”现象做统一实证。</w:t>
      </w:r>
    </w:p>
    <w:p>
      <w:pPr>
        <w:pStyle w:val="Heading2"/>
      </w:pPr>
      <w:r>
        <w:t>本文定位</w:t>
      </w:r>
    </w:p>
    <w:p>
      <w:pPr>
        <w:pStyle w:val="BodyText"/>
      </w:pPr>
      <w:r>
        <w:t>基于上述脉络，本文不试图证明“LLM 必然优于传统模型”，而是回答更实际的问题：在统一业务口径（固定拒绝率）下，哪类模型更适合作为主判，哪类模型更适合作为解释层。</w:t>
      </w:r>
    </w:p>
    <w:p>
      <w:pPr>
        <w:pStyle w:val="Heading2"/>
      </w:pPr>
      <w:r>
        <w:t>文献缺口与实验设计映射</w:t>
      </w:r>
    </w:p>
    <w:p>
      <w:pPr>
        <w:pStyle w:val="BodyText"/>
      </w:pPr>
      <w:r>
        <w:t>为避免综述与实验脱节，本文将文献缺口直接映射到实验：固定 RR 公平主榜、全量口径外推、误差结构代价解释、拒绝率扫描与 Bootstrap CI。这样每条结论都可回溯到对应文献动机与实验协议。</w:t>
      </w:r>
    </w:p>
    <w:p>
      <w:pPr>
        <w:pStyle w:val="Heading1"/>
      </w:pPr>
      <w:r>
        <w:t>数据集、任务与特征工程 (Dataset, Task, and Feature Engineering)</w:t>
      </w:r>
    </w:p>
    <w:p>
      <w:pPr>
        <w:pStyle w:val="Heading2"/>
      </w:pPr>
      <w:r>
        <w:t>数据来源与样本构建</w:t>
      </w:r>
    </w:p>
    <w:p>
      <w:pPr>
        <w:pStyle w:val="BodyText"/>
      </w:pPr>
      <w:r>
        <w:t>原始数据来自 LendingClub 公开历史数据 [23]，并通过 workflow_common.py 与各流水线脚本完成统一清洗与共享切分。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</w:tcPr>
          <w:p>
            <w:r>
              <w:t>阶段</w:t>
            </w:r>
          </w:p>
        </w:tc>
        <w:tc>
          <w:tcPr>
            <w:tcW w:type="dxa" w:w="3485"/>
          </w:tcPr>
          <w:p>
            <w:r>
              <w:t>样本量</w:t>
            </w:r>
          </w:p>
        </w:tc>
        <w:tc>
          <w:tcPr>
            <w:tcW w:type="dxa" w:w="3485"/>
          </w:tcPr>
          <w:p>
            <w:r>
              <w:t>说明</w:t>
            </w:r>
          </w:p>
        </w:tc>
      </w:tr>
      <w:tr>
        <w:tc>
          <w:tcPr>
            <w:tcW w:type="dxa" w:w="3485"/>
          </w:tcPr>
          <w:p>
            <w:r>
              <w:t>原始读取</w:t>
            </w:r>
          </w:p>
        </w:tc>
        <w:tc>
          <w:tcPr>
            <w:tcW w:type="dxa" w:w="3485"/>
          </w:tcPr>
          <w:p>
            <w:r>
              <w:t>2,260,701</w:t>
            </w:r>
          </w:p>
        </w:tc>
        <w:tc>
          <w:tcPr>
            <w:tcW w:type="dxa" w:w="3485"/>
          </w:tcPr>
          <w:p>
            <w:r>
              <w:t>`accepted_2007_to_2018Q4.csv`</w:t>
            </w:r>
          </w:p>
        </w:tc>
      </w:tr>
      <w:tr>
        <w:tc>
          <w:tcPr>
            <w:tcW w:type="dxa" w:w="3485"/>
          </w:tcPr>
          <w:p>
            <w:r>
              <w:t>初筛后</w:t>
            </w:r>
          </w:p>
        </w:tc>
        <w:tc>
          <w:tcPr>
            <w:tcW w:type="dxa" w:w="3485"/>
          </w:tcPr>
          <w:p>
            <w:r>
              <w:t>123,293</w:t>
            </w:r>
          </w:p>
        </w:tc>
        <w:tc>
          <w:tcPr>
            <w:tcW w:type="dxa" w:w="3485"/>
          </w:tcPr>
          <w:p>
            <w:r>
              <w:t>满足基础状态与字段条件</w:t>
            </w:r>
          </w:p>
        </w:tc>
      </w:tr>
      <w:tr>
        <w:tc>
          <w:tcPr>
            <w:tcW w:type="dxa" w:w="3485"/>
          </w:tcPr>
          <w:p>
            <w:r>
              <w:t>清洗后</w:t>
            </w:r>
          </w:p>
        </w:tc>
        <w:tc>
          <w:tcPr>
            <w:tcW w:type="dxa" w:w="3485"/>
          </w:tcPr>
          <w:p>
            <w:r>
              <w:t>123,202</w:t>
            </w:r>
          </w:p>
        </w:tc>
        <w:tc>
          <w:tcPr>
            <w:tcW w:type="dxa" w:w="3485"/>
          </w:tcPr>
          <w:p>
            <w:r>
              <w:t>去重/缺失清洗后可用样本</w:t>
            </w:r>
          </w:p>
        </w:tc>
      </w:tr>
      <w:tr>
        <w:tc>
          <w:tcPr>
            <w:tcW w:type="dxa" w:w="3485"/>
          </w:tcPr>
          <w:p>
            <w:r>
              <w:t>共享高风险子集</w:t>
            </w:r>
          </w:p>
        </w:tc>
        <w:tc>
          <w:tcPr>
            <w:tcW w:type="dxa" w:w="3485"/>
          </w:tcPr>
          <w:p>
            <w:r>
              <w:t>7,108</w:t>
            </w:r>
          </w:p>
        </w:tc>
        <w:tc>
          <w:tcPr>
            <w:tcW w:type="dxa" w:w="3485"/>
          </w:tcPr>
          <w:p>
            <w:r>
              <w:t>`grade in {E,F,G}`, `int_rate&gt;=18.5`, `annual_inc&lt;=92,500`</w:t>
            </w:r>
          </w:p>
        </w:tc>
      </w:tr>
    </w:tbl>
    <w:p>
      <w:pPr>
        <w:pStyle w:val="Heading2"/>
      </w:pPr>
      <w:r>
        <w:t>标签定义与任务</w:t>
      </w:r>
    </w:p>
    <w:p>
      <w:pPr>
        <w:pStyle w:val="bulletlist"/>
      </w:pPr>
      <w:r>
        <w:t>target=1: Charged Off（违约）</w:t>
      </w:r>
    </w:p>
    <w:p>
      <w:pPr>
        <w:pStyle w:val="bulletlist"/>
      </w:pPr>
      <w:r>
        <w:t>target=0: Fully Paid（履约）</w:t>
      </w:r>
    </w:p>
    <w:p>
      <w:pPr>
        <w:pStyle w:val="BodyText"/>
      </w:pPr>
      <w:r>
        <w:t>任务是违约二分类；评估目标是固定拒绝率口径下的识别质量，而非仅比较 AUC。</w:t>
      </w:r>
    </w:p>
    <w:p>
      <w:pPr>
        <w:pStyle w:val="Heading2"/>
      </w:pPr>
      <w:r>
        <w:t>子集分布与难度特征</w:t>
      </w:r>
    </w:p>
    <w:p>
      <w:pPr>
        <w:pStyle w:val="BodyText"/>
      </w:pPr>
      <w:r>
        <w:t>共享子集违约率约 35.00%，且集中在较高风险区间。该设定会增强结构化信号（利率、等级、DTI 等），并压缩文本增益的边际空间。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</w:tcPr>
          <w:p>
            <w:r>
              <w:t>维度</w:t>
            </w:r>
          </w:p>
        </w:tc>
        <w:tc>
          <w:tcPr>
            <w:tcW w:type="dxa" w:w="5227"/>
          </w:tcPr>
          <w:p>
            <w:r>
              <w:t>统计</w:t>
            </w:r>
          </w:p>
        </w:tc>
      </w:tr>
      <w:tr>
        <w:tc>
          <w:tcPr>
            <w:tcW w:type="dxa" w:w="5227"/>
          </w:tcPr>
          <w:p>
            <w:r>
              <w:t>样本总数</w:t>
            </w:r>
          </w:p>
        </w:tc>
        <w:tc>
          <w:tcPr>
            <w:tcW w:type="dxa" w:w="5227"/>
          </w:tcPr>
          <w:p>
            <w:r>
              <w:t>7,108</w:t>
            </w:r>
          </w:p>
        </w:tc>
      </w:tr>
      <w:tr>
        <w:tc>
          <w:tcPr>
            <w:tcW w:type="dxa" w:w="5227"/>
          </w:tcPr>
          <w:p>
            <w:r>
              <w:t>违约率</w:t>
            </w:r>
          </w:p>
        </w:tc>
        <w:tc>
          <w:tcPr>
            <w:tcW w:type="dxa" w:w="5227"/>
          </w:tcPr>
          <w:p>
            <w:r>
              <w:t>35.00%</w:t>
            </w:r>
          </w:p>
        </w:tc>
      </w:tr>
      <w:tr>
        <w:tc>
          <w:tcPr>
            <w:tcW w:type="dxa" w:w="5227"/>
          </w:tcPr>
          <w:p>
            <w:r>
              <w:t>年份范围</w:t>
            </w:r>
          </w:p>
        </w:tc>
        <w:tc>
          <w:tcPr>
            <w:tcW w:type="dxa" w:w="5227"/>
          </w:tcPr>
          <w:p>
            <w:r>
              <w:t>2008-2016</w:t>
            </w:r>
          </w:p>
        </w:tc>
      </w:tr>
      <w:tr>
        <w:tc>
          <w:tcPr>
            <w:tcW w:type="dxa" w:w="5227"/>
          </w:tcPr>
          <w:p>
            <w:r>
              <w:t>Grade 分布</w:t>
            </w:r>
          </w:p>
        </w:tc>
        <w:tc>
          <w:tcPr>
            <w:tcW w:type="dxa" w:w="5227"/>
          </w:tcPr>
          <w:p>
            <w:r>
              <w:t>E: 4,414 / F: 2,195 / G: 499</w:t>
            </w:r>
          </w:p>
        </w:tc>
      </w:tr>
      <w:tr>
        <w:tc>
          <w:tcPr>
            <w:tcW w:type="dxa" w:w="5227"/>
          </w:tcPr>
          <w:p>
            <w:r>
              <w:t>Grade 违约率</w:t>
            </w:r>
          </w:p>
        </w:tc>
        <w:tc>
          <w:tcPr>
            <w:tcW w:type="dxa" w:w="5227"/>
          </w:tcPr>
          <w:p>
            <w:r>
              <w:t>E: 32.85% / F: 37.63% / G: 42.48%</w:t>
            </w:r>
          </w:p>
        </w:tc>
      </w:tr>
    </w:tbl>
    <w:p>
      <w:pPr>
        <w:pStyle w:val="Heading2"/>
      </w:pPr>
      <w:r>
        <w:t>共享切分与防泄露控制（口径 A）</w:t>
      </w:r>
    </w:p>
    <w:p>
      <w:pPr>
        <w:pStyle w:val="BodyText"/>
      </w:pPr>
      <w:r>
        <w:t>统一采用分层随机切分（data/shared/splits/stratified）：</w:t>
      </w:r>
    </w:p>
    <w:p>
      <w:pPr>
        <w:pStyle w:val="bulletlist"/>
      </w:pPr>
      <w:r>
        <w:t>train_fit=4548</w:t>
      </w:r>
    </w:p>
    <w:p>
      <w:pPr>
        <w:pStyle w:val="bulletlist"/>
      </w:pPr>
      <w:r>
        <w:t>validation=1138</w:t>
      </w:r>
    </w:p>
    <w:p>
      <w:pPr>
        <w:pStyle w:val="bulletlist"/>
      </w:pPr>
      <w:r>
        <w:t>test=1422</w:t>
      </w:r>
    </w:p>
    <w:p>
      <w:pPr>
        <w:pStyle w:val="BodyText"/>
      </w:pPr>
      <w:r>
        <w:t>并通过 _shared_row_id 对齐各流水线样本，确保测试集完全一致。</w:t>
      </w:r>
    </w:p>
    <w:p>
      <w:pPr>
        <w:pStyle w:val="Heading2"/>
      </w:pPr>
      <w:r>
        <w:t>全量切分与业务分布口径（口径 B）</w:t>
      </w:r>
    </w:p>
    <w:p>
      <w:pPr>
        <w:pStyle w:val="BodyText"/>
      </w:pPr>
      <w:r>
        <w:t>为评估真实分布下的表现，本文补充口径 B：</w:t>
      </w:r>
    </w:p>
    <w:p>
      <w:pPr>
        <w:pStyle w:val="bulletlist"/>
      </w:pPr>
      <w:r>
        <w:t>输入：ml_standalone/data/processed/ml_full_processed.csv（n=123,202）</w:t>
      </w:r>
    </w:p>
    <w:p>
      <w:pPr>
        <w:pStyle w:val="bulletlist"/>
      </w:pPr>
      <w:r>
        <w:t>共享切分目录：data/shared/splits/full_actual_rr</w:t>
      </w:r>
    </w:p>
    <w:p>
      <w:pPr>
        <w:pStyle w:val="bulletlist"/>
      </w:pPr>
      <w:r>
        <w:t>切分规模：train_fit=78848, validation=19713, test=24641</w:t>
      </w:r>
    </w:p>
    <w:p>
      <w:pPr>
        <w:pStyle w:val="bulletlist"/>
      </w:pPr>
      <w:r>
        <w:t>目标拒绝率：RR_target=0.15327673252057597（全量真实违约率）</w:t>
      </w:r>
    </w:p>
    <w:p>
      <w:pPr>
        <w:pStyle w:val="BodyText"/>
      </w:pPr>
      <w:r>
        <w:t>该口径当前覆盖 ML + DataAnalysis，用于检验主模型排序在全量分布下是否迁移。</w:t>
      </w:r>
    </w:p>
    <w:p>
      <w:pPr>
        <w:pStyle w:val="Heading2"/>
      </w:pPr>
      <w:r>
        <w:t>特征体系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</w:tcPr>
          <w:p>
            <w:r>
              <w:t>特征组</w:t>
            </w:r>
          </w:p>
        </w:tc>
        <w:tc>
          <w:tcPr>
            <w:tcW w:type="dxa" w:w="3485"/>
          </w:tcPr>
          <w:p>
            <w:r>
              <w:t>代表字段</w:t>
            </w:r>
          </w:p>
        </w:tc>
        <w:tc>
          <w:tcPr>
            <w:tcW w:type="dxa" w:w="3485"/>
          </w:tcPr>
          <w:p>
            <w:r>
              <w:t>在本项目中的作用</w:t>
            </w:r>
          </w:p>
        </w:tc>
      </w:tr>
      <w:tr>
        <w:tc>
          <w:tcPr>
            <w:tcW w:type="dxa" w:w="3485"/>
          </w:tcPr>
          <w:p>
            <w:r>
              <w:t>数值特征</w:t>
            </w:r>
          </w:p>
        </w:tc>
        <w:tc>
          <w:tcPr>
            <w:tcW w:type="dxa" w:w="3485"/>
          </w:tcPr>
          <w:p>
            <w:r>
              <w:t>`loan_amnt`, `int_rate`, `annual_inc`, `dti`, `fico_mean`</w:t>
            </w:r>
          </w:p>
        </w:tc>
        <w:tc>
          <w:tcPr>
            <w:tcW w:type="dxa" w:w="3485"/>
          </w:tcPr>
          <w:p>
            <w:r>
              <w:t>主风险强信号</w:t>
            </w:r>
          </w:p>
        </w:tc>
      </w:tr>
      <w:tr>
        <w:tc>
          <w:tcPr>
            <w:tcW w:type="dxa" w:w="3485"/>
          </w:tcPr>
          <w:p>
            <w:r>
              <w:t>类别特征</w:t>
            </w:r>
          </w:p>
        </w:tc>
        <w:tc>
          <w:tcPr>
            <w:tcW w:type="dxa" w:w="3485"/>
          </w:tcPr>
          <w:p>
            <w:r>
              <w:t>`grade`, `home_ownership`, `purpose`, `verification_status`</w:t>
            </w:r>
          </w:p>
        </w:tc>
        <w:tc>
          <w:tcPr>
            <w:tcW w:type="dxa" w:w="3485"/>
          </w:tcPr>
          <w:p>
            <w:r>
              <w:t>结构化分群</w:t>
            </w:r>
          </w:p>
        </w:tc>
      </w:tr>
      <w:tr>
        <w:tc>
          <w:tcPr>
            <w:tcW w:type="dxa" w:w="3485"/>
          </w:tcPr>
          <w:p>
            <w:r>
              <w:t>文本特征</w:t>
            </w:r>
          </w:p>
        </w:tc>
        <w:tc>
          <w:tcPr>
            <w:tcW w:type="dxa" w:w="3485"/>
          </w:tcPr>
          <w:p>
            <w:r>
              <w:t>`desc_clean` / `bert_input`</w:t>
            </w:r>
          </w:p>
        </w:tc>
        <w:tc>
          <w:tcPr>
            <w:tcW w:type="dxa" w:w="3485"/>
          </w:tcPr>
          <w:p>
            <w:r>
              <w:t>软信息与语义补充</w:t>
            </w:r>
          </w:p>
        </w:tc>
      </w:tr>
      <w:tr>
        <w:tc>
          <w:tcPr>
            <w:tcW w:type="dxa" w:w="3485"/>
          </w:tcPr>
          <w:p>
            <w:r>
              <w:t>流程特征</w:t>
            </w:r>
          </w:p>
        </w:tc>
        <w:tc>
          <w:tcPr>
            <w:tcW w:type="dxa" w:w="3485"/>
          </w:tcPr>
          <w:p>
            <w:r>
              <w:t>`_shared_row_id`, `issue_year`</w:t>
            </w:r>
          </w:p>
        </w:tc>
        <w:tc>
          <w:tcPr>
            <w:tcW w:type="dxa" w:w="3485"/>
          </w:tcPr>
          <w:p>
            <w:r>
              <w:t>对齐切分与误差诊断</w:t>
            </w:r>
          </w:p>
        </w:tc>
      </w:tr>
    </w:tbl>
    <w:p>
      <w:pPr>
        <w:pStyle w:val="Heading1"/>
      </w:pPr>
      <w:r>
        <w:t>方法 (Methods)</w:t>
      </w:r>
    </w:p>
    <w:p>
      <w:pPr>
        <w:pStyle w:val="Heading2"/>
      </w:pPr>
      <w:r>
        <w:t>统一方法框架</w:t>
      </w:r>
    </w:p>
    <w:p>
      <w:pPr>
        <w:pStyle w:val="BodyText"/>
      </w:pPr>
      <w:r>
        <w:t>本文比较四类方法族：</w:t>
      </w:r>
    </w:p>
    <w:p>
      <w:pPr>
        <w:pStyle w:val="BodyText"/>
      </w:pPr>
      <w:r>
        <w:t>1. DataAnalysis 风险画像分类器（规则化分数与阈值策略）。</w:t>
      </w:r>
    </w:p>
    <w:p>
      <w:pPr>
        <w:pStyle w:val="BodyText"/>
      </w:pPr>
      <w:r>
        <w:t>2. 传统 ML（逻辑回归、XGBoost）。</w:t>
      </w:r>
    </w:p>
    <w:p>
      <w:pPr>
        <w:pStyle w:val="BodyText"/>
      </w:pPr>
      <w:r>
        <w:t>3. BERT 路线（Embedding + 逻辑回归；端到端微调）。</w:t>
      </w:r>
    </w:p>
    <w:p>
      <w:pPr>
        <w:pStyle w:val="BodyText"/>
      </w:pPr>
      <w:r>
        <w:t>4. LLM 路线（两阶段微调、单阶段微调、外部 GPT-5.2 推理）。</w:t>
      </w:r>
    </w:p>
    <w:p>
      <w:pPr>
        <w:pStyle w:val="BodyText"/>
      </w:pPr>
      <w:r>
        <w:t>所有方法均遵循“验证集定阈值、测试集仅评估”，不使用测试集调参。DataAnalysis 作为可解释、低复杂度的业务基线。</w:t>
      </w:r>
    </w:p>
    <w:p>
      <w:pPr>
        <w:pStyle w:val="Heading2"/>
      </w:pPr>
      <w:r>
        <w:t>传统 ML 基线</w:t>
      </w:r>
    </w:p>
    <w:p>
      <w:pPr>
        <w:pStyle w:val="BodyText"/>
      </w:pPr>
      <w:r>
        <w:t>对应代码：ml_standalone/run_ml_pipeline.py。</w:t>
      </w:r>
    </w:p>
    <w:p>
      <w:pPr>
        <w:pStyle w:val="bulletlist"/>
      </w:pPr>
      <w:r>
        <w:t>预处理：数值 median+scaler，类别 most_frequent+one-hot，文本融合 TF-IDF(1-2gram, min_df=5, max_features=30000)。</w:t>
      </w:r>
    </w:p>
    <w:p>
      <w:pPr>
        <w:pStyle w:val="bulletlist"/>
      </w:pPr>
      <w:r>
        <w:t>候选模型：</w:t>
      </w:r>
    </w:p>
    <w:p>
      <w:pPr>
        <w:pStyle w:val="bulletlist"/>
      </w:pPr>
      <w:r>
        <w:t>logistic_tabular（max_iter=1800, class_weight=balanced）</w:t>
      </w:r>
    </w:p>
    <w:p>
      <w:pPr>
        <w:pStyle w:val="bulletlist"/>
      </w:pPr>
      <w:r>
        <w:t>logistic_text_fusion（结构化 + TF-IDF）</w:t>
      </w:r>
    </w:p>
    <w:p>
      <w:pPr>
        <w:pStyle w:val="bulletlist"/>
      </w:pPr>
      <w:r>
        <w:t>xgboost_tabular（n_estimators=260, max_depth=6, learning_rate=0.05 等）</w:t>
      </w:r>
    </w:p>
    <w:p>
      <w:pPr>
        <w:pStyle w:val="BodyText"/>
      </w:pPr>
      <w:r>
        <w:t>ML 使用 cv_folds=3 分层交叉验证做训练参考，最终仍以验证集固定 RR 指标筛选。结果显示 logistic_text_fusion 未显著超过 logistic_tabular，说明当前子集中文本边际增益受样本与信号结构限制。</w:t>
      </w:r>
    </w:p>
    <w:p>
      <w:pPr>
        <w:pStyle w:val="Heading2"/>
      </w:pPr>
      <w:r>
        <w:t>BERT 路线</w:t>
      </w:r>
    </w:p>
    <w:p>
      <w:pPr>
        <w:pStyle w:val="BodyText"/>
      </w:pPr>
      <w:r>
        <w:t>对应代码：bert_standalone/run_bert_pipeline.py, bert_standalone/bert_workflow.py。</w:t>
      </w:r>
    </w:p>
    <w:p>
      <w:pPr>
        <w:pStyle w:val="BodyText"/>
      </w:pPr>
      <w:r>
        <w:t>1. **Embedding 路线**：bce-embedding-base_v1 编码 bert_input，再接逻辑回归分类器。</w:t>
      </w:r>
    </w:p>
    <w:p>
      <w:pPr>
        <w:pStyle w:val="BodyText"/>
      </w:pPr>
      <w:r>
        <w:t>2. **Finetune 路线**：同底座模型端到端微调（learning_rate=2e-5, train_batch_size=8, num_train_epochs=1.0）。</w:t>
      </w:r>
    </w:p>
    <w:p>
      <w:pPr>
        <w:pStyle w:val="BodyText"/>
      </w:pPr>
      <w:r>
        <w:t>3. 输入长度：请求 max_length=514，实际按 tokenizer 限制使用 512。</w:t>
      </w:r>
    </w:p>
    <w:p>
      <w:pPr>
        <w:pStyle w:val="Heading2"/>
      </w:pPr>
      <w:r>
        <w:t>LLM 路线（两阶段/单阶段/外部）</w:t>
      </w:r>
    </w:p>
    <w:p>
      <w:pPr>
        <w:pStyle w:val="BodyText"/>
      </w:pPr>
      <w:r>
        <w:t>对应代码：llm_standalone/run_llm_two_stage.py、llm_standalone/run_llm_one_stage.py，一键脚本：run_llm_two_stage_full_06b.ps1 与 run_llm_one_stage_full_06b.ps1。</w:t>
      </w:r>
    </w:p>
    <w:p>
      <w:pPr>
        <w:pStyle w:val="BodyText"/>
      </w:pPr>
      <w:r>
        <w:t>流程包括两阶段（Input-&gt;Reason-&gt;Action）、单阶段（Input-&gt;Action）和外部 GPT-5.2 对齐评估。训练基于 Qwen3-0.6B + LoRA(rank=8)，推理时用 reject/approve 的 logprob 计算拒绝概率。两阶段支持验证集重标定；单阶段与 GPT-5.2 在共享口径下存在明显 RR 偏移，因此仅作扩展比较。</w:t>
      </w:r>
    </w:p>
    <w:p>
      <w:pPr>
        <w:pStyle w:val="Heading2"/>
      </w:pPr>
      <w:r>
        <w:t>指标定义与业务意义</w:t>
      </w:r>
    </w:p>
    <w:p>
      <w:pPr>
        <w:pStyle w:val="BodyText"/>
      </w:pPr>
      <w:r>
        <w:t>以“拒绝”为正类，本文在两套目标拒绝率下评估：共享子集 RR_target=0.35，全量口径 RR_target=0.15327673252057597。</w:t>
      </w:r>
    </w:p>
    <w:p>
      <w:pPr>
        <w:pStyle w:val="bulletlist"/>
      </w:pPr>
      <w:r>
        <w:t>Precision@RR = TP / (TP + FP)：被拒样本中真实违约占比。</w:t>
      </w:r>
    </w:p>
    <w:p>
      <w:pPr>
        <w:pStyle w:val="bulletlist"/>
      </w:pPr>
      <w:r>
        <w:t>Recall@RR = TP / (TP + FN)：违约捕获率。</w:t>
      </w:r>
    </w:p>
    <w:p>
      <w:pPr>
        <w:pStyle w:val="bulletlist"/>
      </w:pPr>
      <w:r>
        <w:t>Approval Bad Rate = FN / (TN + FN)：放行样本中的坏账率。</w:t>
      </w:r>
    </w:p>
    <w:p>
      <w:pPr>
        <w:pStyle w:val="bulletlist"/>
      </w:pPr>
      <w:r>
        <w:t>Lift@RR = Precision@RR / RR_target：相对随机拒绝的提升倍数（口径内比较）。</w:t>
      </w:r>
    </w:p>
    <w:p>
      <w:pPr>
        <w:pStyle w:val="BodyText"/>
      </w:pPr>
      <w:r>
        <w:t>这些指标可直接映射“误拒/误放”权衡，比单一 AUC 更贴近审批流程；不同 RR_target 下的绝对值不应横向比较。</w:t>
      </w:r>
    </w:p>
    <w:p>
      <w:pPr>
        <w:pStyle w:val="Heading2"/>
      </w:pPr>
      <w:r>
        <w:t>统一阈值选择流程（防止口径漂移）</w:t>
      </w:r>
    </w:p>
    <w:p>
      <w:pPr>
        <w:pStyle w:val="BodyText"/>
      </w:pPr>
      <w:r>
        <w:t>1. 在验证集上按目标拒绝率寻找分位点阈值（或等价概率阈值）。</w:t>
      </w:r>
    </w:p>
    <w:p>
      <w:pPr>
        <w:pStyle w:val="BodyText"/>
      </w:pPr>
      <w:r>
        <w:t>2. 记录该阈值下的 Precision@RR、Recall@RR、Approval Bad Rate。</w:t>
      </w:r>
    </w:p>
    <w:p>
      <w:pPr>
        <w:pStyle w:val="BodyText"/>
      </w:pPr>
      <w:r>
        <w:t>3. 固定阈值后一次性在测试集评估，不再回看测试结果调阈。</w:t>
      </w:r>
    </w:p>
    <w:p>
      <w:pPr>
        <w:pStyle w:val="BodyText"/>
      </w:pPr>
      <w:r>
        <w:t>4. 对 LLM 额外报告“默认阈值 vs 固定 RR 阈值”的敏感性，以分离“模型能力”与“阈值校准”影响。</w:t>
      </w:r>
    </w:p>
    <w:p>
      <w:pPr>
        <w:pStyle w:val="Heading1"/>
      </w:pPr>
      <w:r>
        <w:t>实验设计与统计协议 (Experiment Design and Statistical Protocol)</w:t>
      </w:r>
    </w:p>
    <w:p>
      <w:pPr>
        <w:pStyle w:val="Heading2"/>
      </w:pPr>
      <w:r>
        <w:t>公平比较控制</w:t>
      </w:r>
    </w:p>
    <w:p>
      <w:pPr>
        <w:pStyle w:val="bulletlist"/>
      </w:pPr>
      <w:r>
        <w:t>口径 A（公平横评）：data/shared/shared_subset.csv + data/shared/splits/stratified + RR=35%</w:t>
      </w:r>
    </w:p>
    <w:p>
      <w:pPr>
        <w:pStyle w:val="bulletlist"/>
      </w:pPr>
      <w:r>
        <w:t>口径 B（业务分布）：ml_full_processed.csv + data/shared/splits/full_actual_rr + RR=0.1533（精确值见 IV.E）</w:t>
      </w:r>
    </w:p>
    <w:p>
      <w:pPr>
        <w:pStyle w:val="bulletlist"/>
      </w:pPr>
      <w:r>
        <w:t>同一阈值流程：验证集定阈 -&gt; 测试集固定评估</w:t>
      </w:r>
    </w:p>
    <w:p>
      <w:pPr>
        <w:pStyle w:val="bulletlist"/>
      </w:pPr>
      <w:r>
        <w:t>对拒绝率显著偏离目标的模型单独标注（不并入公平主榜）</w:t>
      </w:r>
    </w:p>
    <w:p>
      <w:pPr>
        <w:pStyle w:val="Heading2"/>
      </w:pPr>
      <w:r>
        <w:t>实验阶段</w:t>
      </w:r>
    </w:p>
    <w:p>
      <w:pPr>
        <w:pStyle w:val="BodyText"/>
      </w:pPr>
      <w:r>
        <w:t>1. **主对比实验（口径 A）**：7 条对齐路线（DA/3个ML/BERT-Emb/BERT-FT/LLM-2stage）。</w:t>
      </w:r>
    </w:p>
    <w:p>
      <w:pPr>
        <w:pStyle w:val="BodyText"/>
      </w:pPr>
      <w:r>
        <w:t>2. **扩展实验（口径 A）**：LLM 单阶段与 GPT-5.2（报告但不纳入公平主榜）。</w:t>
      </w:r>
    </w:p>
    <w:p>
      <w:pPr>
        <w:pStyle w:val="BodyText"/>
      </w:pPr>
      <w:r>
        <w:t>3. **拒绝率扫描实验**：在 10%/20%/35%/50% 口径比较模型排序变化。</w:t>
      </w:r>
    </w:p>
    <w:p>
      <w:pPr>
        <w:pStyle w:val="BodyText"/>
      </w:pPr>
      <w:r>
        <w:t>4. **LLM 阈值敏感性**：对比默认阈值与固定 RR 重标定。</w:t>
      </w:r>
    </w:p>
    <w:p>
      <w:pPr>
        <w:pStyle w:val="BodyText"/>
      </w:pPr>
      <w:r>
        <w:t>5. **不确定性评估**：对关键模型做 bootstrap 95% CI（B=1000）。</w:t>
      </w:r>
    </w:p>
    <w:p>
      <w:pPr>
        <w:pStyle w:val="BodyText"/>
      </w:pPr>
      <w:r>
        <w:t>6. **全量口径实验（口径 B）**：ML + DataAnalysis 在实际违约率目标下比较。</w:t>
      </w:r>
    </w:p>
    <w:p>
      <w:pPr>
        <w:pStyle w:val="Heading2"/>
      </w:pPr>
      <w:r>
        <w:t>实证规范说明（与课程最佳实践对齐）</w:t>
      </w:r>
    </w:p>
    <w:p>
      <w:pPr>
        <w:pStyle w:val="BodyText"/>
      </w:pPr>
      <w:r>
        <w:t>核心规范：无测试集调参；交叉验证仅用于训练参考；阈值统一由验证集业务目标确定；所有模型采用同一业务指标解释。</w:t>
      </w:r>
    </w:p>
    <w:p>
      <w:pPr>
        <w:pStyle w:val="Heading2"/>
      </w:pPr>
      <w:r>
        <w:t>统计与稳健性设计</w:t>
      </w:r>
    </w:p>
    <w:p>
      <w:pPr>
        <w:pStyle w:val="BodyText"/>
      </w:pPr>
      <w:r>
        <w:t>稳健性检查包括两部分：</w:t>
      </w:r>
    </w:p>
    <w:p>
      <w:pPr>
        <w:pStyle w:val="BodyText"/>
      </w:pPr>
      <w:r>
        <w:t>1. **拒绝率扫描**：在 10%/20%/35%/50% 下比较排序是否迁移。</w:t>
      </w:r>
    </w:p>
    <w:p>
      <w:pPr>
        <w:pStyle w:val="BodyText"/>
      </w:pPr>
      <w:r>
        <w:t>2. **Bootstrap CI**：对关键模型做 B=1000 次重采样并报告 95% CI。</w:t>
      </w:r>
    </w:p>
    <w:p>
      <w:pPr>
        <w:pStyle w:val="Heading2"/>
      </w:pPr>
      <w:r>
        <w:t>模型入榜判定规则（执行口径）</w:t>
      </w:r>
    </w:p>
    <w:p>
      <w:pPr>
        <w:pStyle w:val="BodyText"/>
      </w:pPr>
      <w:r>
        <w:t>1. 先检验是否满足目标拒绝率约束（或在可接受偏差区间内）。</w:t>
      </w:r>
    </w:p>
    <w:p>
      <w:pPr>
        <w:pStyle w:val="BodyText"/>
      </w:pPr>
      <w:r>
        <w:t>2. 仅对满足约束的模型比较 Precision@RR、Lift@RR 与 Approval Bad Rate。</w:t>
      </w:r>
    </w:p>
    <w:p>
      <w:pPr>
        <w:pStyle w:val="BodyText"/>
      </w:pPr>
      <w:r>
        <w:t>3. 对拒绝率显著偏离目标的模型仅保留在扩展实验，不并入公平主榜。</w:t>
      </w:r>
    </w:p>
    <w:p>
      <w:pPr>
        <w:pStyle w:val="BodyText"/>
      </w:pPr>
      <w:r>
        <w:t>若主指标接近，优先选择阈值更稳定、解释成本更低的方案。</w:t>
      </w:r>
    </w:p>
    <w:p>
      <w:pPr>
        <w:pStyle w:val="Heading1"/>
      </w:pPr>
      <w:r>
        <w:t>实验结果 (Experimental Results)</w:t>
      </w:r>
    </w:p>
    <w:p>
      <w:pPr>
        <w:pStyle w:val="Heading2"/>
      </w:pPr>
      <w:r>
        <w:t>主结果（口径 A：共享子集，RR 目标=35%，公平主榜）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42"/>
        <w:gridCol w:w="1742"/>
        <w:gridCol w:w="1742"/>
        <w:gridCol w:w="1742"/>
        <w:gridCol w:w="1742"/>
        <w:gridCol w:w="1742"/>
      </w:tblGrid>
      <w:tr>
        <w:tc>
          <w:tcPr>
            <w:tcW w:type="dxa" w:w="1742"/>
          </w:tcPr>
          <w:p>
            <w:r>
              <w:t>模型</w:t>
            </w:r>
          </w:p>
        </w:tc>
        <w:tc>
          <w:tcPr>
            <w:tcW w:type="dxa" w:w="1742"/>
          </w:tcPr>
          <w:p>
            <w:r>
              <w:t>Precision@RR</w:t>
            </w:r>
          </w:p>
        </w:tc>
        <w:tc>
          <w:tcPr>
            <w:tcW w:type="dxa" w:w="1742"/>
          </w:tcPr>
          <w:p>
            <w:r>
              <w:t>Recall@RR</w:t>
            </w:r>
          </w:p>
        </w:tc>
        <w:tc>
          <w:tcPr>
            <w:tcW w:type="dxa" w:w="1742"/>
          </w:tcPr>
          <w:p>
            <w:r>
              <w:t>Approval Bad Rate</w:t>
            </w:r>
          </w:p>
        </w:tc>
        <w:tc>
          <w:tcPr>
            <w:tcW w:type="dxa" w:w="1742"/>
          </w:tcPr>
          <w:p>
            <w:r>
              <w:t>Lift@RR</w:t>
            </w:r>
          </w:p>
        </w:tc>
        <w:tc>
          <w:tcPr>
            <w:tcW w:type="dxa" w:w="1742"/>
          </w:tcPr>
          <w:p>
            <w:r>
              <w:t>实际 Reject Rate</w:t>
            </w:r>
          </w:p>
        </w:tc>
      </w:tr>
      <w:tr>
        <w:tc>
          <w:tcPr>
            <w:tcW w:type="dxa" w:w="1742"/>
          </w:tcPr>
          <w:p>
            <w:r>
              <w:t>DataAnalysis</w:t>
            </w:r>
          </w:p>
        </w:tc>
        <w:tc>
          <w:tcPr>
            <w:tcW w:type="dxa" w:w="1742"/>
          </w:tcPr>
          <w:p>
            <w:r>
              <w:t>0.4175</w:t>
            </w:r>
          </w:p>
        </w:tc>
        <w:tc>
          <w:tcPr>
            <w:tcW w:type="dxa" w:w="1742"/>
          </w:tcPr>
          <w:p>
            <w:r>
              <w:t>0.4317</w:t>
            </w:r>
          </w:p>
        </w:tc>
        <w:tc>
          <w:tcPr>
            <w:tcW w:type="dxa" w:w="1742"/>
          </w:tcPr>
          <w:p>
            <w:r>
              <w:t>0.3120</w:t>
            </w:r>
          </w:p>
        </w:tc>
        <w:tc>
          <w:tcPr>
            <w:tcW w:type="dxa" w:w="1742"/>
          </w:tcPr>
          <w:p>
            <w:r>
              <w:t>1.1928</w:t>
            </w:r>
          </w:p>
        </w:tc>
        <w:tc>
          <w:tcPr>
            <w:tcW w:type="dxa" w:w="1742"/>
          </w:tcPr>
          <w:p>
            <w:r>
              <w:t>0.3622</w:t>
            </w:r>
          </w:p>
        </w:tc>
      </w:tr>
      <w:tr>
        <w:tc>
          <w:tcPr>
            <w:tcW w:type="dxa" w:w="1742"/>
          </w:tcPr>
          <w:p>
            <w:r>
              <w:t>ML: logistic_tabular</w:t>
            </w:r>
          </w:p>
        </w:tc>
        <w:tc>
          <w:tcPr>
            <w:tcW w:type="dxa" w:w="1742"/>
          </w:tcPr>
          <w:p>
            <w:r>
              <w:t>0.4154</w:t>
            </w:r>
          </w:p>
        </w:tc>
        <w:tc>
          <w:tcPr>
            <w:tcW w:type="dxa" w:w="1742"/>
          </w:tcPr>
          <w:p>
            <w:r>
              <w:t>0.4538</w:t>
            </w:r>
          </w:p>
        </w:tc>
        <w:tc>
          <w:tcPr>
            <w:tcW w:type="dxa" w:w="1742"/>
          </w:tcPr>
          <w:p>
            <w:r>
              <w:t>0.3098</w:t>
            </w:r>
          </w:p>
        </w:tc>
        <w:tc>
          <w:tcPr>
            <w:tcW w:type="dxa" w:w="1742"/>
          </w:tcPr>
          <w:p>
            <w:r>
              <w:t>1.1870</w:t>
            </w:r>
          </w:p>
        </w:tc>
        <w:tc>
          <w:tcPr>
            <w:tcW w:type="dxa" w:w="1742"/>
          </w:tcPr>
          <w:p>
            <w:r>
              <w:t>0.3826</w:t>
            </w:r>
          </w:p>
        </w:tc>
      </w:tr>
      <w:tr>
        <w:tc>
          <w:tcPr>
            <w:tcW w:type="dxa" w:w="1742"/>
          </w:tcPr>
          <w:p>
            <w:r>
              <w:t>ML: logistic_text_fusion</w:t>
            </w:r>
          </w:p>
        </w:tc>
        <w:tc>
          <w:tcPr>
            <w:tcW w:type="dxa" w:w="1742"/>
          </w:tcPr>
          <w:p>
            <w:r>
              <w:t>0.4154</w:t>
            </w:r>
          </w:p>
        </w:tc>
        <w:tc>
          <w:tcPr>
            <w:tcW w:type="dxa" w:w="1742"/>
          </w:tcPr>
          <w:p>
            <w:r>
              <w:t>0.4337</w:t>
            </w:r>
          </w:p>
        </w:tc>
        <w:tc>
          <w:tcPr>
            <w:tcW w:type="dxa" w:w="1742"/>
          </w:tcPr>
          <w:p>
            <w:r>
              <w:t>0.3126</w:t>
            </w:r>
          </w:p>
        </w:tc>
        <w:tc>
          <w:tcPr>
            <w:tcW w:type="dxa" w:w="1742"/>
          </w:tcPr>
          <w:p>
            <w:r>
              <w:t>1.1868</w:t>
            </w:r>
          </w:p>
        </w:tc>
        <w:tc>
          <w:tcPr>
            <w:tcW w:type="dxa" w:w="1742"/>
          </w:tcPr>
          <w:p>
            <w:r>
              <w:t>0.3657</w:t>
            </w:r>
          </w:p>
        </w:tc>
      </w:tr>
      <w:tr>
        <w:tc>
          <w:tcPr>
            <w:tcW w:type="dxa" w:w="1742"/>
          </w:tcPr>
          <w:p>
            <w:r>
              <w:t>ML: xgboost_tabular</w:t>
            </w:r>
          </w:p>
        </w:tc>
        <w:tc>
          <w:tcPr>
            <w:tcW w:type="dxa" w:w="1742"/>
          </w:tcPr>
          <w:p>
            <w:r>
              <w:t>0.4030</w:t>
            </w:r>
          </w:p>
        </w:tc>
        <w:tc>
          <w:tcPr>
            <w:tcW w:type="dxa" w:w="1742"/>
          </w:tcPr>
          <w:p>
            <w:r>
              <w:t>0.4378</w:t>
            </w:r>
          </w:p>
        </w:tc>
        <w:tc>
          <w:tcPr>
            <w:tcW w:type="dxa" w:w="1742"/>
          </w:tcPr>
          <w:p>
            <w:r>
              <w:t>0.3178</w:t>
            </w:r>
          </w:p>
        </w:tc>
        <w:tc>
          <w:tcPr>
            <w:tcW w:type="dxa" w:w="1742"/>
          </w:tcPr>
          <w:p>
            <w:r>
              <w:t>1.1513</w:t>
            </w:r>
          </w:p>
        </w:tc>
        <w:tc>
          <w:tcPr>
            <w:tcW w:type="dxa" w:w="1742"/>
          </w:tcPr>
          <w:p>
            <w:r>
              <w:t>0.3805</w:t>
            </w:r>
          </w:p>
        </w:tc>
      </w:tr>
      <w:tr>
        <w:tc>
          <w:tcPr>
            <w:tcW w:type="dxa" w:w="1742"/>
          </w:tcPr>
          <w:p>
            <w:r>
              <w:t>BERT-Embedding</w:t>
            </w:r>
          </w:p>
        </w:tc>
        <w:tc>
          <w:tcPr>
            <w:tcW w:type="dxa" w:w="1742"/>
          </w:tcPr>
          <w:p>
            <w:r>
              <w:t>0.3859</w:t>
            </w:r>
          </w:p>
        </w:tc>
        <w:tc>
          <w:tcPr>
            <w:tcW w:type="dxa" w:w="1742"/>
          </w:tcPr>
          <w:p>
            <w:r>
              <w:t>0.4177</w:t>
            </w:r>
          </w:p>
        </w:tc>
        <w:tc>
          <w:tcPr>
            <w:tcW w:type="dxa" w:w="1742"/>
          </w:tcPr>
          <w:p>
            <w:r>
              <w:t>0.3284</w:t>
            </w:r>
          </w:p>
        </w:tc>
        <w:tc>
          <w:tcPr>
            <w:tcW w:type="dxa" w:w="1742"/>
          </w:tcPr>
          <w:p>
            <w:r>
              <w:t>1.1026</w:t>
            </w:r>
          </w:p>
        </w:tc>
        <w:tc>
          <w:tcPr>
            <w:tcW w:type="dxa" w:w="1742"/>
          </w:tcPr>
          <w:p>
            <w:r>
              <w:t>0.3790</w:t>
            </w:r>
          </w:p>
        </w:tc>
      </w:tr>
      <w:tr>
        <w:tc>
          <w:tcPr>
            <w:tcW w:type="dxa" w:w="1742"/>
          </w:tcPr>
          <w:p>
            <w:r>
              <w:t>BERT-Finetune</w:t>
            </w:r>
          </w:p>
        </w:tc>
        <w:tc>
          <w:tcPr>
            <w:tcW w:type="dxa" w:w="1742"/>
          </w:tcPr>
          <w:p>
            <w:r>
              <w:t>0.3895</w:t>
            </w:r>
          </w:p>
        </w:tc>
        <w:tc>
          <w:tcPr>
            <w:tcW w:type="dxa" w:w="1742"/>
          </w:tcPr>
          <w:p>
            <w:r>
              <w:t>0.4317</w:t>
            </w:r>
          </w:p>
        </w:tc>
        <w:tc>
          <w:tcPr>
            <w:tcW w:type="dxa" w:w="1742"/>
          </w:tcPr>
          <w:p>
            <w:r>
              <w:t>0.3253</w:t>
            </w:r>
          </w:p>
        </w:tc>
        <w:tc>
          <w:tcPr>
            <w:tcW w:type="dxa" w:w="1742"/>
          </w:tcPr>
          <w:p>
            <w:r>
              <w:t>1.1128</w:t>
            </w:r>
          </w:p>
        </w:tc>
        <w:tc>
          <w:tcPr>
            <w:tcW w:type="dxa" w:w="1742"/>
          </w:tcPr>
          <w:p>
            <w:r>
              <w:t>0.3882</w:t>
            </w:r>
          </w:p>
        </w:tc>
      </w:tr>
      <w:tr>
        <w:tc>
          <w:tcPr>
            <w:tcW w:type="dxa" w:w="1742"/>
          </w:tcPr>
          <w:p>
            <w:r>
              <w:t>LLM Two-Stage (Qwen3-0.6B)</w:t>
            </w:r>
          </w:p>
        </w:tc>
        <w:tc>
          <w:tcPr>
            <w:tcW w:type="dxa" w:w="1742"/>
          </w:tcPr>
          <w:p>
            <w:r>
              <w:t>0.3653</w:t>
            </w:r>
          </w:p>
        </w:tc>
        <w:tc>
          <w:tcPr>
            <w:tcW w:type="dxa" w:w="1742"/>
          </w:tcPr>
          <w:p>
            <w:r>
              <w:t>0.3675</w:t>
            </w:r>
          </w:p>
        </w:tc>
        <w:tc>
          <w:tcPr>
            <w:tcW w:type="dxa" w:w="1742"/>
          </w:tcPr>
          <w:p>
            <w:r>
              <w:t>0.3420</w:t>
            </w:r>
          </w:p>
        </w:tc>
        <w:tc>
          <w:tcPr>
            <w:tcW w:type="dxa" w:w="1742"/>
          </w:tcPr>
          <w:p>
            <w:r>
              <w:t>1.0436</w:t>
            </w:r>
          </w:p>
        </w:tc>
        <w:tc>
          <w:tcPr>
            <w:tcW w:type="dxa" w:w="1742"/>
          </w:tcPr>
          <w:p>
            <w:r>
              <w:t>0.3523</w:t>
            </w:r>
          </w:p>
        </w:tc>
      </w:tr>
    </w:tbl>
    <w:p>
      <w:pPr>
        <w:pStyle w:val="BodyText"/>
      </w:pPr>
      <w:r>
        <w:t>在拒绝率接近 35% 的公平约束下，DataAnalysis 与 logistic_tabular 仍最稳健；LLM 两阶段可用但与结构化主线存在明显差距。</w:t>
      </w:r>
    </w:p>
    <w:p>
      <w:pPr>
        <w:pStyle w:val="Heading2"/>
      </w:pPr>
      <w:r>
        <w:t>扩展 LLM 对比（口径 A：同测试集，但未全部满足 RR 对齐）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42"/>
        <w:gridCol w:w="1742"/>
        <w:gridCol w:w="1742"/>
        <w:gridCol w:w="1742"/>
        <w:gridCol w:w="1742"/>
        <w:gridCol w:w="1742"/>
      </w:tblGrid>
      <w:tr>
        <w:tc>
          <w:tcPr>
            <w:tcW w:type="dxa" w:w="1742"/>
          </w:tcPr>
          <w:p>
            <w:r>
              <w:t>模型</w:t>
            </w:r>
          </w:p>
        </w:tc>
        <w:tc>
          <w:tcPr>
            <w:tcW w:type="dxa" w:w="1742"/>
          </w:tcPr>
          <w:p>
            <w:r>
              <w:t>Precision@RR</w:t>
            </w:r>
          </w:p>
        </w:tc>
        <w:tc>
          <w:tcPr>
            <w:tcW w:type="dxa" w:w="1742"/>
          </w:tcPr>
          <w:p>
            <w:r>
              <w:t>Recall@RR</w:t>
            </w:r>
          </w:p>
        </w:tc>
        <w:tc>
          <w:tcPr>
            <w:tcW w:type="dxa" w:w="1742"/>
          </w:tcPr>
          <w:p>
            <w:r>
              <w:t>Approval Bad Rate</w:t>
            </w:r>
          </w:p>
        </w:tc>
        <w:tc>
          <w:tcPr>
            <w:tcW w:type="dxa" w:w="1742"/>
          </w:tcPr>
          <w:p>
            <w:r>
              <w:t>Lift@RR</w:t>
            </w:r>
          </w:p>
        </w:tc>
        <w:tc>
          <w:tcPr>
            <w:tcW w:type="dxa" w:w="1742"/>
          </w:tcPr>
          <w:p>
            <w:r>
              <w:t>实际 Reject Rate</w:t>
            </w:r>
          </w:p>
        </w:tc>
      </w:tr>
      <w:tr>
        <w:tc>
          <w:tcPr>
            <w:tcW w:type="dxa" w:w="1742"/>
          </w:tcPr>
          <w:p>
            <w:r>
              <w:t>LLM Two-Stage (Qwen3-0.6B)</w:t>
            </w:r>
          </w:p>
        </w:tc>
        <w:tc>
          <w:tcPr>
            <w:tcW w:type="dxa" w:w="1742"/>
          </w:tcPr>
          <w:p>
            <w:r>
              <w:t>0.3653</w:t>
            </w:r>
          </w:p>
        </w:tc>
        <w:tc>
          <w:tcPr>
            <w:tcW w:type="dxa" w:w="1742"/>
          </w:tcPr>
          <w:p>
            <w:r>
              <w:t>0.3675</w:t>
            </w:r>
          </w:p>
        </w:tc>
        <w:tc>
          <w:tcPr>
            <w:tcW w:type="dxa" w:w="1742"/>
          </w:tcPr>
          <w:p>
            <w:r>
              <w:t>0.3420</w:t>
            </w:r>
          </w:p>
        </w:tc>
        <w:tc>
          <w:tcPr>
            <w:tcW w:type="dxa" w:w="1742"/>
          </w:tcPr>
          <w:p>
            <w:r>
              <w:t>1.0436</w:t>
            </w:r>
          </w:p>
        </w:tc>
        <w:tc>
          <w:tcPr>
            <w:tcW w:type="dxa" w:w="1742"/>
          </w:tcPr>
          <w:p>
            <w:r>
              <w:t>0.3523</w:t>
            </w:r>
          </w:p>
        </w:tc>
      </w:tr>
      <w:tr>
        <w:tc>
          <w:tcPr>
            <w:tcW w:type="dxa" w:w="1742"/>
          </w:tcPr>
          <w:p>
            <w:r>
              <w:t>LLM One-Stage (Qwen3-0.6B)</w:t>
            </w:r>
          </w:p>
        </w:tc>
        <w:tc>
          <w:tcPr>
            <w:tcW w:type="dxa" w:w="1742"/>
          </w:tcPr>
          <w:p>
            <w:r>
              <w:t>0.3587</w:t>
            </w:r>
          </w:p>
        </w:tc>
        <w:tc>
          <w:tcPr>
            <w:tcW w:type="dxa" w:w="1742"/>
          </w:tcPr>
          <w:p>
            <w:r>
              <w:t>0.6245</w:t>
            </w:r>
          </w:p>
        </w:tc>
        <w:tc>
          <w:tcPr>
            <w:tcW w:type="dxa" w:w="1742"/>
          </w:tcPr>
          <w:p>
            <w:r>
              <w:t>0.3369</w:t>
            </w:r>
          </w:p>
        </w:tc>
        <w:tc>
          <w:tcPr>
            <w:tcW w:type="dxa" w:w="1742"/>
          </w:tcPr>
          <w:p>
            <w:r>
              <w:t>1.0249</w:t>
            </w:r>
          </w:p>
        </w:tc>
        <w:tc>
          <w:tcPr>
            <w:tcW w:type="dxa" w:w="1742"/>
          </w:tcPr>
          <w:p>
            <w:r>
              <w:t>0.6097</w:t>
            </w:r>
          </w:p>
        </w:tc>
      </w:tr>
      <w:tr>
        <w:tc>
          <w:tcPr>
            <w:tcW w:type="dxa" w:w="1742"/>
          </w:tcPr>
          <w:p>
            <w:r>
              <w:t>GPT-5.2 (External, no finetune)</w:t>
            </w:r>
          </w:p>
        </w:tc>
        <w:tc>
          <w:tcPr>
            <w:tcW w:type="dxa" w:w="1742"/>
          </w:tcPr>
          <w:p>
            <w:r>
              <w:t>0.3462</w:t>
            </w:r>
          </w:p>
        </w:tc>
        <w:tc>
          <w:tcPr>
            <w:tcW w:type="dxa" w:w="1742"/>
          </w:tcPr>
          <w:p>
            <w:r>
              <w:t>0.8133</w:t>
            </w:r>
          </w:p>
        </w:tc>
        <w:tc>
          <w:tcPr>
            <w:tcW w:type="dxa" w:w="1742"/>
          </w:tcPr>
          <w:p>
            <w:r>
              <w:t>0.3690</w:t>
            </w:r>
          </w:p>
        </w:tc>
        <w:tc>
          <w:tcPr>
            <w:tcW w:type="dxa" w:w="1742"/>
          </w:tcPr>
          <w:p>
            <w:r>
              <w:t>0.9884</w:t>
            </w:r>
          </w:p>
        </w:tc>
        <w:tc>
          <w:tcPr>
            <w:tcW w:type="dxa" w:w="1742"/>
          </w:tcPr>
          <w:p>
            <w:r>
              <w:t>0.8228</w:t>
            </w:r>
          </w:p>
        </w:tc>
      </w:tr>
    </w:tbl>
    <w:p>
      <w:pPr>
        <w:pStyle w:val="BodyText"/>
      </w:pPr>
      <w:r>
        <w:t>扩展结果表明：单阶段 LLM 与 GPT-5.2 的高召回主要由高拒绝率驱动，因此不并入主榜结论。</w:t>
      </w:r>
    </w:p>
    <w:p>
      <w:pPr>
        <w:pStyle w:val="Heading2"/>
      </w:pPr>
      <w:r>
        <w:t>全量业务口径结果（口径 B：n=123,202，RR 目标=0.1533）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42"/>
        <w:gridCol w:w="1742"/>
        <w:gridCol w:w="1742"/>
        <w:gridCol w:w="1742"/>
        <w:gridCol w:w="1742"/>
        <w:gridCol w:w="1742"/>
      </w:tblGrid>
      <w:tr>
        <w:tc>
          <w:tcPr>
            <w:tcW w:type="dxa" w:w="1742"/>
          </w:tcPr>
          <w:p>
            <w:r>
              <w:t>模型</w:t>
            </w:r>
          </w:p>
        </w:tc>
        <w:tc>
          <w:tcPr>
            <w:tcW w:type="dxa" w:w="1742"/>
          </w:tcPr>
          <w:p>
            <w:r>
              <w:t>Precision@RR</w:t>
            </w:r>
          </w:p>
        </w:tc>
        <w:tc>
          <w:tcPr>
            <w:tcW w:type="dxa" w:w="1742"/>
          </w:tcPr>
          <w:p>
            <w:r>
              <w:t>Recall@RR</w:t>
            </w:r>
          </w:p>
        </w:tc>
        <w:tc>
          <w:tcPr>
            <w:tcW w:type="dxa" w:w="1742"/>
          </w:tcPr>
          <w:p>
            <w:r>
              <w:t>Approval Bad Rate</w:t>
            </w:r>
          </w:p>
        </w:tc>
        <w:tc>
          <w:tcPr>
            <w:tcW w:type="dxa" w:w="1742"/>
          </w:tcPr>
          <w:p>
            <w:r>
              <w:t>Lift@RR</w:t>
            </w:r>
          </w:p>
        </w:tc>
        <w:tc>
          <w:tcPr>
            <w:tcW w:type="dxa" w:w="1742"/>
          </w:tcPr>
          <w:p>
            <w:r>
              <w:t>实际 Reject Rate</w:t>
            </w:r>
          </w:p>
        </w:tc>
      </w:tr>
      <w:tr>
        <w:tc>
          <w:tcPr>
            <w:tcW w:type="dxa" w:w="1742"/>
          </w:tcPr>
          <w:p>
            <w:r>
              <w:t>ML: logistic_tabular</w:t>
            </w:r>
          </w:p>
        </w:tc>
        <w:tc>
          <w:tcPr>
            <w:tcW w:type="dxa" w:w="1742"/>
          </w:tcPr>
          <w:p>
            <w:r>
              <w:t>0.3069</w:t>
            </w:r>
          </w:p>
        </w:tc>
        <w:tc>
          <w:tcPr>
            <w:tcW w:type="dxa" w:w="1742"/>
          </w:tcPr>
          <w:p>
            <w:r>
              <w:t>0.2992</w:t>
            </w:r>
          </w:p>
        </w:tc>
        <w:tc>
          <w:tcPr>
            <w:tcW w:type="dxa" w:w="1742"/>
          </w:tcPr>
          <w:p>
            <w:r>
              <w:t>0.1263</w:t>
            </w:r>
          </w:p>
        </w:tc>
        <w:tc>
          <w:tcPr>
            <w:tcW w:type="dxa" w:w="1742"/>
          </w:tcPr>
          <w:p>
            <w:r>
              <w:t>2.0023</w:t>
            </w:r>
          </w:p>
        </w:tc>
        <w:tc>
          <w:tcPr>
            <w:tcW w:type="dxa" w:w="1742"/>
          </w:tcPr>
          <w:p>
            <w:r>
              <w:t>0.1494</w:t>
            </w:r>
          </w:p>
        </w:tc>
      </w:tr>
      <w:tr>
        <w:tc>
          <w:tcPr>
            <w:tcW w:type="dxa" w:w="1742"/>
          </w:tcPr>
          <w:p>
            <w:r>
              <w:t>ML: logistic_text_fusion</w:t>
            </w:r>
          </w:p>
        </w:tc>
        <w:tc>
          <w:tcPr>
            <w:tcW w:type="dxa" w:w="1742"/>
          </w:tcPr>
          <w:p>
            <w:r>
              <w:t>0.2994</w:t>
            </w:r>
          </w:p>
        </w:tc>
        <w:tc>
          <w:tcPr>
            <w:tcW w:type="dxa" w:w="1742"/>
          </w:tcPr>
          <w:p>
            <w:r>
              <w:t>0.3050</w:t>
            </w:r>
          </w:p>
        </w:tc>
        <w:tc>
          <w:tcPr>
            <w:tcW w:type="dxa" w:w="1742"/>
          </w:tcPr>
          <w:p>
            <w:r>
              <w:t>0.1262</w:t>
            </w:r>
          </w:p>
        </w:tc>
        <w:tc>
          <w:tcPr>
            <w:tcW w:type="dxa" w:w="1742"/>
          </w:tcPr>
          <w:p>
            <w:r>
              <w:t>1.9532</w:t>
            </w:r>
          </w:p>
        </w:tc>
        <w:tc>
          <w:tcPr>
            <w:tcW w:type="dxa" w:w="1742"/>
          </w:tcPr>
          <w:p>
            <w:r>
              <w:t>0.1562</w:t>
            </w:r>
          </w:p>
        </w:tc>
      </w:tr>
      <w:tr>
        <w:tc>
          <w:tcPr>
            <w:tcW w:type="dxa" w:w="1742"/>
          </w:tcPr>
          <w:p>
            <w:r>
              <w:t>ML: xgboost_tabular</w:t>
            </w:r>
          </w:p>
        </w:tc>
        <w:tc>
          <w:tcPr>
            <w:tcW w:type="dxa" w:w="1742"/>
          </w:tcPr>
          <w:p>
            <w:r>
              <w:t>0.3153</w:t>
            </w:r>
          </w:p>
        </w:tc>
        <w:tc>
          <w:tcPr>
            <w:tcW w:type="dxa" w:w="1742"/>
          </w:tcPr>
          <w:p>
            <w:r>
              <w:t>0.3095</w:t>
            </w:r>
          </w:p>
        </w:tc>
        <w:tc>
          <w:tcPr>
            <w:tcW w:type="dxa" w:w="1742"/>
          </w:tcPr>
          <w:p>
            <w:r>
              <w:t>0.1246</w:t>
            </w:r>
          </w:p>
        </w:tc>
        <w:tc>
          <w:tcPr>
            <w:tcW w:type="dxa" w:w="1742"/>
          </w:tcPr>
          <w:p>
            <w:r>
              <w:t>2.0568</w:t>
            </w:r>
          </w:p>
        </w:tc>
        <w:tc>
          <w:tcPr>
            <w:tcW w:type="dxa" w:w="1742"/>
          </w:tcPr>
          <w:p>
            <w:r>
              <w:t>0.1505</w:t>
            </w:r>
          </w:p>
        </w:tc>
      </w:tr>
      <w:tr>
        <w:tc>
          <w:tcPr>
            <w:tcW w:type="dxa" w:w="1742"/>
          </w:tcPr>
          <w:p>
            <w:r>
              <w:t>DataAnalysis</w:t>
            </w:r>
          </w:p>
        </w:tc>
        <w:tc>
          <w:tcPr>
            <w:tcW w:type="dxa" w:w="1742"/>
          </w:tcPr>
          <w:p>
            <w:r>
              <w:t>0.2849</w:t>
            </w:r>
          </w:p>
        </w:tc>
        <w:tc>
          <w:tcPr>
            <w:tcW w:type="dxa" w:w="1742"/>
          </w:tcPr>
          <w:p>
            <w:r>
              <w:t>0.2851</w:t>
            </w:r>
          </w:p>
        </w:tc>
        <w:tc>
          <w:tcPr>
            <w:tcW w:type="dxa" w:w="1742"/>
          </w:tcPr>
          <w:p>
            <w:r>
              <w:t>0.1294</w:t>
            </w:r>
          </w:p>
        </w:tc>
        <w:tc>
          <w:tcPr>
            <w:tcW w:type="dxa" w:w="1742"/>
          </w:tcPr>
          <w:p>
            <w:r>
              <w:t>1.8589</w:t>
            </w:r>
          </w:p>
        </w:tc>
        <w:tc>
          <w:tcPr>
            <w:tcW w:type="dxa" w:w="1742"/>
          </w:tcPr>
          <w:p>
            <w:r>
              <w:t>0.1534</w:t>
            </w:r>
          </w:p>
        </w:tc>
      </w:tr>
    </w:tbl>
    <w:p>
      <w:pPr>
        <w:pStyle w:val="BodyText"/>
      </w:pPr>
      <w:r>
        <w:t>在全量分布下，xgboost_tabular 取代 logistic_tabular 成为最优，说明排序受分布与 RR_target 影响。</w:t>
      </w:r>
    </w:p>
    <w:p>
      <w:pPr>
        <w:pStyle w:val="Heading2"/>
      </w:pPr>
      <w:r>
        <w:t>拒绝率扫描：模型排序是否稳定（口径 A）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c>
          <w:tcPr>
            <w:tcW w:type="dxa" w:w="2091"/>
          </w:tcPr>
          <w:p>
            <w:r>
              <w:t>模型</w:t>
            </w:r>
          </w:p>
        </w:tc>
        <w:tc>
          <w:tcPr>
            <w:tcW w:type="dxa" w:w="2091"/>
          </w:tcPr>
          <w:p>
            <w:r>
              <w:t>RR=10% Precision</w:t>
            </w:r>
          </w:p>
        </w:tc>
        <w:tc>
          <w:tcPr>
            <w:tcW w:type="dxa" w:w="2091"/>
          </w:tcPr>
          <w:p>
            <w:r>
              <w:t>RR=20% Precision</w:t>
            </w:r>
          </w:p>
        </w:tc>
        <w:tc>
          <w:tcPr>
            <w:tcW w:type="dxa" w:w="2091"/>
          </w:tcPr>
          <w:p>
            <w:r>
              <w:t>RR=35% Precision</w:t>
            </w:r>
          </w:p>
        </w:tc>
        <w:tc>
          <w:tcPr>
            <w:tcW w:type="dxa" w:w="2091"/>
          </w:tcPr>
          <w:p>
            <w:r>
              <w:t>RR=50% Precision</w:t>
            </w:r>
          </w:p>
        </w:tc>
      </w:tr>
      <w:tr>
        <w:tc>
          <w:tcPr>
            <w:tcW w:type="dxa" w:w="2091"/>
          </w:tcPr>
          <w:p>
            <w:r>
              <w:t>ML: logistic_tabular</w:t>
            </w:r>
          </w:p>
        </w:tc>
        <w:tc>
          <w:tcPr>
            <w:tcW w:type="dxa" w:w="2091"/>
          </w:tcPr>
          <w:p>
            <w:r>
              <w:t>0.5180</w:t>
            </w:r>
          </w:p>
        </w:tc>
        <w:tc>
          <w:tcPr>
            <w:tcW w:type="dxa" w:w="2091"/>
          </w:tcPr>
          <w:p>
            <w:r>
              <w:t>0.4712</w:t>
            </w:r>
          </w:p>
        </w:tc>
        <w:tc>
          <w:tcPr>
            <w:tcW w:type="dxa" w:w="2091"/>
          </w:tcPr>
          <w:p>
            <w:r>
              <w:t>0.4154</w:t>
            </w:r>
          </w:p>
        </w:tc>
        <w:tc>
          <w:tcPr>
            <w:tcW w:type="dxa" w:w="2091"/>
          </w:tcPr>
          <w:p>
            <w:r>
              <w:t>0.4023</w:t>
            </w:r>
          </w:p>
        </w:tc>
      </w:tr>
      <w:tr>
        <w:tc>
          <w:tcPr>
            <w:tcW w:type="dxa" w:w="2091"/>
          </w:tcPr>
          <w:p>
            <w:r>
              <w:t>DataAnalysis</w:t>
            </w:r>
          </w:p>
        </w:tc>
        <w:tc>
          <w:tcPr>
            <w:tcW w:type="dxa" w:w="2091"/>
          </w:tcPr>
          <w:p>
            <w:r>
              <w:t>0.4797</w:t>
            </w:r>
          </w:p>
        </w:tc>
        <w:tc>
          <w:tcPr>
            <w:tcW w:type="dxa" w:w="2091"/>
          </w:tcPr>
          <w:p>
            <w:r>
              <w:t>0.4254</w:t>
            </w:r>
          </w:p>
        </w:tc>
        <w:tc>
          <w:tcPr>
            <w:tcW w:type="dxa" w:w="2091"/>
          </w:tcPr>
          <w:p>
            <w:r>
              <w:t>0.4175</w:t>
            </w:r>
          </w:p>
        </w:tc>
        <w:tc>
          <w:tcPr>
            <w:tcW w:type="dxa" w:w="2091"/>
          </w:tcPr>
          <w:p>
            <w:r>
              <w:t>0.3992</w:t>
            </w:r>
          </w:p>
        </w:tc>
      </w:tr>
      <w:tr>
        <w:tc>
          <w:tcPr>
            <w:tcW w:type="dxa" w:w="2091"/>
          </w:tcPr>
          <w:p>
            <w:r>
              <w:t>ML: xgboost_tabular</w:t>
            </w:r>
          </w:p>
        </w:tc>
        <w:tc>
          <w:tcPr>
            <w:tcW w:type="dxa" w:w="2091"/>
          </w:tcPr>
          <w:p>
            <w:r>
              <w:t>0.4248</w:t>
            </w:r>
          </w:p>
        </w:tc>
        <w:tc>
          <w:tcPr>
            <w:tcW w:type="dxa" w:w="2091"/>
          </w:tcPr>
          <w:p>
            <w:r>
              <w:t>0.4415</w:t>
            </w:r>
          </w:p>
        </w:tc>
        <w:tc>
          <w:tcPr>
            <w:tcW w:type="dxa" w:w="2091"/>
          </w:tcPr>
          <w:p>
            <w:r>
              <w:t>0.4030</w:t>
            </w:r>
          </w:p>
        </w:tc>
        <w:tc>
          <w:tcPr>
            <w:tcW w:type="dxa" w:w="2091"/>
          </w:tcPr>
          <w:p>
            <w:r>
              <w:t>0.3963</w:t>
            </w:r>
          </w:p>
        </w:tc>
      </w:tr>
      <w:tr>
        <w:tc>
          <w:tcPr>
            <w:tcW w:type="dxa" w:w="2091"/>
          </w:tcPr>
          <w:p>
            <w:r>
              <w:t>BERT-Finetune</w:t>
            </w:r>
          </w:p>
        </w:tc>
        <w:tc>
          <w:tcPr>
            <w:tcW w:type="dxa" w:w="2091"/>
          </w:tcPr>
          <w:p>
            <w:r>
              <w:t>0.4044</w:t>
            </w:r>
          </w:p>
        </w:tc>
        <w:tc>
          <w:tcPr>
            <w:tcW w:type="dxa" w:w="2091"/>
          </w:tcPr>
          <w:p>
            <w:r>
              <w:t>0.3789</w:t>
            </w:r>
          </w:p>
        </w:tc>
        <w:tc>
          <w:tcPr>
            <w:tcW w:type="dxa" w:w="2091"/>
          </w:tcPr>
          <w:p>
            <w:r>
              <w:t>0.3895</w:t>
            </w:r>
          </w:p>
        </w:tc>
        <w:tc>
          <w:tcPr>
            <w:tcW w:type="dxa" w:w="2091"/>
          </w:tcPr>
          <w:p>
            <w:r>
              <w:t>0.3826</w:t>
            </w:r>
          </w:p>
        </w:tc>
      </w:tr>
    </w:tbl>
    <w:p>
      <w:pPr>
        <w:pStyle w:val="BodyText"/>
      </w:pPr>
      <w:r>
        <w:t>低拒绝率（10%-20%）下 logistic_tabular 优势更明显；拒绝率上升后差距缩小，但结构化路线仍领先。</w:t>
      </w:r>
    </w:p>
    <w:p>
      <w:pPr>
        <w:pStyle w:val="Heading2"/>
      </w:pPr>
      <w:r>
        <w:t>两阶段 LLM 阈值敏感性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42"/>
        <w:gridCol w:w="1742"/>
        <w:gridCol w:w="1742"/>
        <w:gridCol w:w="1742"/>
        <w:gridCol w:w="1742"/>
        <w:gridCol w:w="1742"/>
      </w:tblGrid>
      <w:tr>
        <w:tc>
          <w:tcPr>
            <w:tcW w:type="dxa" w:w="1742"/>
          </w:tcPr>
          <w:p>
            <w:r>
              <w:t>设置</w:t>
            </w:r>
          </w:p>
        </w:tc>
        <w:tc>
          <w:tcPr>
            <w:tcW w:type="dxa" w:w="1742"/>
          </w:tcPr>
          <w:p>
            <w:r>
              <w:t>Reject Rate</w:t>
            </w:r>
          </w:p>
        </w:tc>
        <w:tc>
          <w:tcPr>
            <w:tcW w:type="dxa" w:w="1742"/>
          </w:tcPr>
          <w:p>
            <w:r>
              <w:t>Precision</w:t>
            </w:r>
          </w:p>
        </w:tc>
        <w:tc>
          <w:tcPr>
            <w:tcW w:type="dxa" w:w="1742"/>
          </w:tcPr>
          <w:p>
            <w:r>
              <w:t>Recall</w:t>
            </w:r>
          </w:p>
        </w:tc>
        <w:tc>
          <w:tcPr>
            <w:tcW w:type="dxa" w:w="1742"/>
          </w:tcPr>
          <w:p>
            <w:r>
              <w:t>Approval Bad Rate</w:t>
            </w:r>
          </w:p>
        </w:tc>
        <w:tc>
          <w:tcPr>
            <w:tcW w:type="dxa" w:w="1742"/>
          </w:tcPr>
          <w:p>
            <w:r>
              <w:t>Lift</w:t>
            </w:r>
          </w:p>
        </w:tc>
      </w:tr>
      <w:tr>
        <w:tc>
          <w:tcPr>
            <w:tcW w:type="dxa" w:w="1742"/>
          </w:tcPr>
          <w:p>
            <w:r>
              <w:t>默认阈值（delta&gt;=0）</w:t>
            </w:r>
          </w:p>
        </w:tc>
        <w:tc>
          <w:tcPr>
            <w:tcW w:type="dxa" w:w="1742"/>
          </w:tcPr>
          <w:p>
            <w:r>
              <w:t>0.2820</w:t>
            </w:r>
          </w:p>
        </w:tc>
        <w:tc>
          <w:tcPr>
            <w:tcW w:type="dxa" w:w="1742"/>
          </w:tcPr>
          <w:p>
            <w:r>
              <w:t>0.3691</w:t>
            </w:r>
          </w:p>
        </w:tc>
        <w:tc>
          <w:tcPr>
            <w:tcW w:type="dxa" w:w="1742"/>
          </w:tcPr>
          <w:p>
            <w:r>
              <w:t>0.2972</w:t>
            </w:r>
          </w:p>
        </w:tc>
        <w:tc>
          <w:tcPr>
            <w:tcW w:type="dxa" w:w="1742"/>
          </w:tcPr>
          <w:p>
            <w:r>
              <w:t>0.3428</w:t>
            </w:r>
          </w:p>
        </w:tc>
        <w:tc>
          <w:tcPr>
            <w:tcW w:type="dxa" w:w="1742"/>
          </w:tcPr>
          <w:p>
            <w:r>
              <w:t>1.0545</w:t>
            </w:r>
          </w:p>
        </w:tc>
      </w:tr>
      <w:tr>
        <w:tc>
          <w:tcPr>
            <w:tcW w:type="dxa" w:w="1742"/>
          </w:tcPr>
          <w:p>
            <w:r>
              <w:t>固定 RR=35%（验证集重标定）</w:t>
            </w:r>
          </w:p>
        </w:tc>
        <w:tc>
          <w:tcPr>
            <w:tcW w:type="dxa" w:w="1742"/>
          </w:tcPr>
          <w:p>
            <w:r>
              <w:t>0.3523</w:t>
            </w:r>
          </w:p>
        </w:tc>
        <w:tc>
          <w:tcPr>
            <w:tcW w:type="dxa" w:w="1742"/>
          </w:tcPr>
          <w:p>
            <w:r>
              <w:t>0.3653</w:t>
            </w:r>
          </w:p>
        </w:tc>
        <w:tc>
          <w:tcPr>
            <w:tcW w:type="dxa" w:w="1742"/>
          </w:tcPr>
          <w:p>
            <w:r>
              <w:t>0.3675</w:t>
            </w:r>
          </w:p>
        </w:tc>
        <w:tc>
          <w:tcPr>
            <w:tcW w:type="dxa" w:w="1742"/>
          </w:tcPr>
          <w:p>
            <w:r>
              <w:t>0.3420</w:t>
            </w:r>
          </w:p>
        </w:tc>
        <w:tc>
          <w:tcPr>
            <w:tcW w:type="dxa" w:w="1742"/>
          </w:tcPr>
          <w:p>
            <w:r>
              <w:t>1.0436</w:t>
            </w:r>
          </w:p>
        </w:tc>
      </w:tr>
    </w:tbl>
    <w:p>
      <w:pPr>
        <w:pStyle w:val="BodyText"/>
      </w:pPr>
      <w:r>
        <w:t>重标定主要改善召回（+7.03 个百分点），但 Precision 略降，放行坏账率改善有限。</w:t>
      </w:r>
    </w:p>
    <w:p>
      <w:pPr>
        <w:pStyle w:val="Heading2"/>
      </w:pPr>
      <w:r>
        <w:t>不确定性（Bootstrap 95% CI）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c>
          <w:tcPr>
            <w:tcW w:type="dxa" w:w="2613"/>
          </w:tcPr>
          <w:p>
            <w:r>
              <w:t>模型</w:t>
            </w:r>
          </w:p>
        </w:tc>
        <w:tc>
          <w:tcPr>
            <w:tcW w:type="dxa" w:w="2613"/>
          </w:tcPr>
          <w:p>
            <w:r>
              <w:t>Precision (95% CI)</w:t>
            </w:r>
          </w:p>
        </w:tc>
        <w:tc>
          <w:tcPr>
            <w:tcW w:type="dxa" w:w="2613"/>
          </w:tcPr>
          <w:p>
            <w:r>
              <w:t>Recall (95% CI)</w:t>
            </w:r>
          </w:p>
        </w:tc>
        <w:tc>
          <w:tcPr>
            <w:tcW w:type="dxa" w:w="2613"/>
          </w:tcPr>
          <w:p>
            <w:r>
              <w:t>Approval Bad Rate (95% CI)</w:t>
            </w:r>
          </w:p>
        </w:tc>
      </w:tr>
      <w:tr>
        <w:tc>
          <w:tcPr>
            <w:tcW w:type="dxa" w:w="2613"/>
          </w:tcPr>
          <w:p>
            <w:r>
              <w:t>DataAnalysis</w:t>
            </w:r>
          </w:p>
        </w:tc>
        <w:tc>
          <w:tcPr>
            <w:tcW w:type="dxa" w:w="2613"/>
          </w:tcPr>
          <w:p>
            <w:r>
              <w:t>0.4175 ([0.3735, 0.4605])</w:t>
            </w:r>
          </w:p>
        </w:tc>
        <w:tc>
          <w:tcPr>
            <w:tcW w:type="dxa" w:w="2613"/>
          </w:tcPr>
          <w:p>
            <w:r>
              <w:t>0.4317 ([0.3906, 0.4767])</w:t>
            </w:r>
          </w:p>
        </w:tc>
        <w:tc>
          <w:tcPr>
            <w:tcW w:type="dxa" w:w="2613"/>
          </w:tcPr>
          <w:p>
            <w:r>
              <w:t>0.3120 ([0.2834, 0.3428])</w:t>
            </w:r>
          </w:p>
        </w:tc>
      </w:tr>
      <w:tr>
        <w:tc>
          <w:tcPr>
            <w:tcW w:type="dxa" w:w="2613"/>
          </w:tcPr>
          <w:p>
            <w:r>
              <w:t>ML: logistic_tabular</w:t>
            </w:r>
          </w:p>
        </w:tc>
        <w:tc>
          <w:tcPr>
            <w:tcW w:type="dxa" w:w="2613"/>
          </w:tcPr>
          <w:p>
            <w:r>
              <w:t>0.4154 ([0.3766, 0.4532])</w:t>
            </w:r>
          </w:p>
        </w:tc>
        <w:tc>
          <w:tcPr>
            <w:tcW w:type="dxa" w:w="2613"/>
          </w:tcPr>
          <w:p>
            <w:r>
              <w:t>0.4538 ([0.4094, 0.5000])</w:t>
            </w:r>
          </w:p>
        </w:tc>
        <w:tc>
          <w:tcPr>
            <w:tcW w:type="dxa" w:w="2613"/>
          </w:tcPr>
          <w:p>
            <w:r>
              <w:t>0.3098 ([0.2793, 0.3395])</w:t>
            </w:r>
          </w:p>
        </w:tc>
      </w:tr>
      <w:tr>
        <w:tc>
          <w:tcPr>
            <w:tcW w:type="dxa" w:w="2613"/>
          </w:tcPr>
          <w:p>
            <w:r>
              <w:t>BERT-Finetune</w:t>
            </w:r>
          </w:p>
        </w:tc>
        <w:tc>
          <w:tcPr>
            <w:tcW w:type="dxa" w:w="2613"/>
          </w:tcPr>
          <w:p>
            <w:r>
              <w:t>0.3895 ([0.3498, 0.4328])</w:t>
            </w:r>
          </w:p>
        </w:tc>
        <w:tc>
          <w:tcPr>
            <w:tcW w:type="dxa" w:w="2613"/>
          </w:tcPr>
          <w:p>
            <w:r>
              <w:t>0.4317 ([0.3861, 0.4807])</w:t>
            </w:r>
          </w:p>
        </w:tc>
        <w:tc>
          <w:tcPr>
            <w:tcW w:type="dxa" w:w="2613"/>
          </w:tcPr>
          <w:p>
            <w:r>
              <w:t>0.3253 ([0.2957, 0.3573])</w:t>
            </w:r>
          </w:p>
        </w:tc>
      </w:tr>
      <w:tr>
        <w:tc>
          <w:tcPr>
            <w:tcW w:type="dxa" w:w="2613"/>
          </w:tcPr>
          <w:p>
            <w:r>
              <w:t>LLM Two-Stage FixedRR</w:t>
            </w:r>
          </w:p>
        </w:tc>
        <w:tc>
          <w:tcPr>
            <w:tcW w:type="dxa" w:w="2613"/>
          </w:tcPr>
          <w:p>
            <w:r>
              <w:t>0.3653 ([0.3245, 0.4077])</w:t>
            </w:r>
          </w:p>
        </w:tc>
        <w:tc>
          <w:tcPr>
            <w:tcW w:type="dxa" w:w="2613"/>
          </w:tcPr>
          <w:p>
            <w:r>
              <w:t>0.3675 ([0.3273, 0.4088])</w:t>
            </w:r>
          </w:p>
        </w:tc>
        <w:tc>
          <w:tcPr>
            <w:tcW w:type="dxa" w:w="2613"/>
          </w:tcPr>
          <w:p>
            <w:r>
              <w:t>0.3420 ([0.3131, 0.3706])</w:t>
            </w:r>
          </w:p>
        </w:tc>
      </w:tr>
    </w:tbl>
    <w:p>
      <w:pPr>
        <w:pStyle w:val="BodyText"/>
      </w:pPr>
      <w:r>
        <w:t>置信区间与主结论一致：LLM 与结构化基线在 Precision 和 Approval Bad Rate 上仍有差距。</w:t>
      </w:r>
    </w:p>
    <w:p>
      <w:pPr>
        <w:pStyle w:val="Heading2"/>
      </w:pPr>
      <w:r>
        <w:t>误差结构视角：每千笔申请的业务代价（口径 A）</w:t>
      </w:r>
    </w:p>
    <w:p>
      <w:pPr>
        <w:pStyle w:val="BodyText"/>
      </w:pPr>
      <w:r>
        <w:t>为增强业务可读性，本文将主结果换算为“每 1000 笔申请”的误差结构：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c>
          <w:tcPr>
            <w:tcW w:type="dxa" w:w="2613"/>
          </w:tcPr>
          <w:p>
            <w:r>
              <w:t>模型</w:t>
            </w:r>
          </w:p>
        </w:tc>
        <w:tc>
          <w:tcPr>
            <w:tcW w:type="dxa" w:w="2613"/>
          </w:tcPr>
          <w:p>
            <w:r>
              <w:t>每1000笔捕获违约（TP）</w:t>
            </w:r>
          </w:p>
        </w:tc>
        <w:tc>
          <w:tcPr>
            <w:tcW w:type="dxa" w:w="2613"/>
          </w:tcPr>
          <w:p>
            <w:r>
              <w:t>每1000笔放过违约（FN）</w:t>
            </w:r>
          </w:p>
        </w:tc>
        <w:tc>
          <w:tcPr>
            <w:tcW w:type="dxa" w:w="2613"/>
          </w:tcPr>
          <w:p>
            <w:r>
              <w:t>每1000笔误拒好人（FP）</w:t>
            </w:r>
          </w:p>
        </w:tc>
      </w:tr>
      <w:tr>
        <w:tc>
          <w:tcPr>
            <w:tcW w:type="dxa" w:w="2613"/>
          </w:tcPr>
          <w:p>
            <w:r>
              <w:t>ML: logistic_tabular</w:t>
            </w:r>
          </w:p>
        </w:tc>
        <w:tc>
          <w:tcPr>
            <w:tcW w:type="dxa" w:w="2613"/>
          </w:tcPr>
          <w:p>
            <w:r>
              <w:t>158.9</w:t>
            </w:r>
          </w:p>
        </w:tc>
        <w:tc>
          <w:tcPr>
            <w:tcW w:type="dxa" w:w="2613"/>
          </w:tcPr>
          <w:p>
            <w:r>
              <w:t>191.3</w:t>
            </w:r>
          </w:p>
        </w:tc>
        <w:tc>
          <w:tcPr>
            <w:tcW w:type="dxa" w:w="2613"/>
          </w:tcPr>
          <w:p>
            <w:r>
              <w:t>223.6</w:t>
            </w:r>
          </w:p>
        </w:tc>
      </w:tr>
      <w:tr>
        <w:tc>
          <w:tcPr>
            <w:tcW w:type="dxa" w:w="2613"/>
          </w:tcPr>
          <w:p>
            <w:r>
              <w:t>DataAnalysis</w:t>
            </w:r>
          </w:p>
        </w:tc>
        <w:tc>
          <w:tcPr>
            <w:tcW w:type="dxa" w:w="2613"/>
          </w:tcPr>
          <w:p>
            <w:r>
              <w:t>151.2</w:t>
            </w:r>
          </w:p>
        </w:tc>
        <w:tc>
          <w:tcPr>
            <w:tcW w:type="dxa" w:w="2613"/>
          </w:tcPr>
          <w:p>
            <w:r>
              <w:t>199.0</w:t>
            </w:r>
          </w:p>
        </w:tc>
        <w:tc>
          <w:tcPr>
            <w:tcW w:type="dxa" w:w="2613"/>
          </w:tcPr>
          <w:p>
            <w:r>
              <w:t>211.0</w:t>
            </w:r>
          </w:p>
        </w:tc>
      </w:tr>
      <w:tr>
        <w:tc>
          <w:tcPr>
            <w:tcW w:type="dxa" w:w="2613"/>
          </w:tcPr>
          <w:p>
            <w:r>
              <w:t>BERT-Finetune</w:t>
            </w:r>
          </w:p>
        </w:tc>
        <w:tc>
          <w:tcPr>
            <w:tcW w:type="dxa" w:w="2613"/>
          </w:tcPr>
          <w:p>
            <w:r>
              <w:t>151.2</w:t>
            </w:r>
          </w:p>
        </w:tc>
        <w:tc>
          <w:tcPr>
            <w:tcW w:type="dxa" w:w="2613"/>
          </w:tcPr>
          <w:p>
            <w:r>
              <w:t>199.0</w:t>
            </w:r>
          </w:p>
        </w:tc>
        <w:tc>
          <w:tcPr>
            <w:tcW w:type="dxa" w:w="2613"/>
          </w:tcPr>
          <w:p>
            <w:r>
              <w:t>237.0</w:t>
            </w:r>
          </w:p>
        </w:tc>
      </w:tr>
      <w:tr>
        <w:tc>
          <w:tcPr>
            <w:tcW w:type="dxa" w:w="2613"/>
          </w:tcPr>
          <w:p>
            <w:r>
              <w:t>LLM Two-Stage (Qwen3-0.6B)</w:t>
            </w:r>
          </w:p>
        </w:tc>
        <w:tc>
          <w:tcPr>
            <w:tcW w:type="dxa" w:w="2613"/>
          </w:tcPr>
          <w:p>
            <w:r>
              <w:t>128.7</w:t>
            </w:r>
          </w:p>
        </w:tc>
        <w:tc>
          <w:tcPr>
            <w:tcW w:type="dxa" w:w="2613"/>
          </w:tcPr>
          <w:p>
            <w:r>
              <w:t>221.5</w:t>
            </w:r>
          </w:p>
        </w:tc>
        <w:tc>
          <w:tcPr>
            <w:tcW w:type="dxa" w:w="2613"/>
          </w:tcPr>
          <w:p>
            <w:r>
              <w:t>223.6</w:t>
            </w:r>
          </w:p>
        </w:tc>
      </w:tr>
    </w:tbl>
    <w:p>
      <w:pPr>
        <w:pStyle w:val="BodyText"/>
      </w:pPr>
      <w:r>
        <w:t>logistic_tabular 与两阶段 LLM 的误拒规模几乎相同（223.6 vs 223.6），但前者每 1000 笔多捕获约 30.2 笔违约，说明差距主要来自识别能力而非过度拒绝。</w:t>
      </w:r>
    </w:p>
    <w:p>
      <w:pPr>
        <w:pStyle w:val="Heading1"/>
      </w:pPr>
      <w:r>
        <w:t>讨论与分析 (Discussion and Analysis)</w:t>
      </w:r>
    </w:p>
    <w:p>
      <w:pPr>
        <w:pStyle w:val="Heading2"/>
      </w:pPr>
      <w:r>
        <w:t>为什么当前结构化模型仍占优</w:t>
      </w:r>
    </w:p>
    <w:p>
      <w:pPr>
        <w:pStyle w:val="BodyText"/>
      </w:pPr>
      <w:r>
        <w:t>1. **样本选择效应**：共享子集通过高风险规则筛选，结构化信号浓度提升。</w:t>
      </w:r>
    </w:p>
    <w:p>
      <w:pPr>
        <w:pStyle w:val="BodyText"/>
      </w:pPr>
      <w:r>
        <w:t>2. **训练信号约束**：两阶段 LLM 的教师理由来自规则化模板，语义多样性不足。</w:t>
      </w:r>
    </w:p>
    <w:p>
      <w:pPr>
        <w:pStyle w:val="BodyText"/>
      </w:pPr>
      <w:r>
        <w:t>3. **决策头限制**：Stage-2 最终为二元动作比较，难充分利用复杂上下文。</w:t>
      </w:r>
    </w:p>
    <w:p>
      <w:pPr>
        <w:pStyle w:val="BodyText"/>
      </w:pPr>
      <w:r>
        <w:t>4. **模型规模与样本规模错配**：0.6B 在当前数据量下更易表现为“可解释但判别力有限”。</w:t>
      </w:r>
    </w:p>
    <w:p>
      <w:pPr>
        <w:pStyle w:val="BodyText"/>
      </w:pPr>
      <w:r>
        <w:t>5. **校准约束差异**：单阶段 LLM 与 GPT-5.2 在当前配置下表现为“高拒绝率换高召回”，难直接满足固定 RR 运营规则。</w:t>
      </w:r>
    </w:p>
    <w:p>
      <w:pPr>
        <w:pStyle w:val="Heading2"/>
      </w:pPr>
      <w:r>
        <w:t>与文献脉络的对应关系</w:t>
      </w:r>
    </w:p>
    <w:p>
      <w:pPr>
        <w:pStyle w:val="BodyText"/>
      </w:pPr>
      <w:r>
        <w:t>文献普遍显示文本有增量价值 [10]-[17]，但增益依赖任务定义与评估口径。本文结果不否定文本价值，而是表明在固定拒绝率约束下，文本增益需依赖更强训练与校准；且全量分布下结构化模型内部排序也会变化（xgboost_tabular 领先）。</w:t>
      </w:r>
    </w:p>
    <w:p>
      <w:pPr>
        <w:pStyle w:val="Heading2"/>
      </w:pPr>
      <w:r>
        <w:t>哪些方向更有前景</w:t>
      </w:r>
    </w:p>
    <w:p>
      <w:pPr>
        <w:pStyle w:val="BodyText"/>
      </w:pPr>
      <w:r>
        <w:t>1. **更高质量教师信号**：从规则模板升级到专家审阅理由，减少模式坍塌。</w:t>
      </w:r>
    </w:p>
    <w:p>
      <w:pPr>
        <w:pStyle w:val="BodyText"/>
      </w:pPr>
      <w:r>
        <w:t>2. **联合建模**：将结构化强信号与文本语义在同一判别头融合，而非简单串联。</w:t>
      </w:r>
    </w:p>
    <w:p>
      <w:pPr>
        <w:pStyle w:val="BodyText"/>
      </w:pPr>
      <w:r>
        <w:t>3. **校准优先**：引入温度缩放/分段校准与 top-k 约束，优先优化固定 RR 下的业务指标。</w:t>
      </w:r>
    </w:p>
    <w:p>
      <w:pPr>
        <w:pStyle w:val="BodyText"/>
      </w:pPr>
      <w:r>
        <w:t>4. **时序外推验证**：补充时间外推切分，验证跨年份稳定性。</w:t>
      </w:r>
    </w:p>
    <w:p>
      <w:pPr>
        <w:pStyle w:val="Heading2"/>
      </w:pPr>
      <w:r>
        <w:t>哪些方向前景有限</w:t>
      </w:r>
    </w:p>
    <w:p>
      <w:pPr>
        <w:pStyle w:val="BodyText"/>
      </w:pPr>
      <w:r>
        <w:t>1. 仅靠更复杂提示词而不改变训练信号质量，边际收益通常有限。</w:t>
      </w:r>
    </w:p>
    <w:p>
      <w:pPr>
        <w:pStyle w:val="BodyText"/>
      </w:pPr>
      <w:r>
        <w:t>2. 在无校准前提下直接将 LLM 作为主判，会放大运营波动与审核负担。</w:t>
      </w:r>
    </w:p>
    <w:p>
      <w:pPr>
        <w:pStyle w:val="BodyText"/>
      </w:pPr>
      <w:r>
        <w:t>3. 将“高拒绝率高召回”结果直接宣称为更优策略，会忽略业务约束与客户体验成本。</w:t>
      </w:r>
    </w:p>
    <w:p>
      <w:pPr>
        <w:pStyle w:val="Heading2"/>
      </w:pPr>
      <w:r>
        <w:t>威胁与有效性（Threats to Validity）</w:t>
      </w:r>
    </w:p>
    <w:p>
      <w:pPr>
        <w:pStyle w:val="BodyText"/>
      </w:pPr>
      <w:r>
        <w:t>1. **样本代表性限制**：主实验聚焦高风险子集，结论不直接代表全量客群；但该设置有助于回答“高风险审批”场景问题。</w:t>
      </w:r>
    </w:p>
    <w:p>
      <w:pPr>
        <w:pStyle w:val="BodyText"/>
      </w:pPr>
      <w:r>
        <w:t>2. **时序外推未完全验证**：当前以分层随机切分为主，尚未进行严格按时间滚动测试；因此跨周期稳定性仍需补充实验。</w:t>
      </w:r>
    </w:p>
    <w:p>
      <w:pPr>
        <w:pStyle w:val="BodyText"/>
      </w:pPr>
      <w:r>
        <w:t>3. **LLM 教师信号偏差**：两阶段数据由教师流程构造，若理由文本模式较单一，可能限制学生模型泛化。</w:t>
      </w:r>
    </w:p>
    <w:p>
      <w:pPr>
        <w:pStyle w:val="BodyText"/>
      </w:pPr>
      <w:r>
        <w:t>4. **文本字段历史缺失**：desc 在历史期间存在可用性差异，这会影响时间段之间的可比性。</w:t>
      </w:r>
    </w:p>
    <w:p>
      <w:pPr>
        <w:pStyle w:val="Heading1"/>
      </w:pPr>
      <w:r>
        <w:t>代码组织与可复现性 (Code Organization and Reproducibility)</w:t>
      </w:r>
    </w:p>
    <w:p>
      <w:pPr>
        <w:pStyle w:val="Heading2"/>
      </w:pPr>
      <w:r>
        <w:t>代码结构与职责映射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</w:tcPr>
          <w:p>
            <w:r>
              <w:t>目录/脚本</w:t>
            </w:r>
          </w:p>
        </w:tc>
        <w:tc>
          <w:tcPr>
            <w:tcW w:type="dxa" w:w="5227"/>
          </w:tcPr>
          <w:p>
            <w:r>
              <w:t>职责</w:t>
            </w:r>
          </w:p>
        </w:tc>
      </w:tr>
      <w:tr>
        <w:tc>
          <w:tcPr>
            <w:tcW w:type="dxa" w:w="5227"/>
          </w:tcPr>
          <w:p>
            <w:r>
              <w:t>`workflow_common.py`</w:t>
            </w:r>
          </w:p>
        </w:tc>
        <w:tc>
          <w:tcPr>
            <w:tcW w:type="dxa" w:w="5227"/>
          </w:tcPr>
          <w:p>
            <w:r>
              <w:t>清洗、切分、阈值优化、统一指标函数</w:t>
            </w:r>
          </w:p>
        </w:tc>
      </w:tr>
      <w:tr>
        <w:tc>
          <w:tcPr>
            <w:tcW w:type="dxa" w:w="5227"/>
          </w:tcPr>
          <w:p>
            <w:r>
              <w:t>`ml_standalone/run_ml_pipeline.py`</w:t>
            </w:r>
          </w:p>
        </w:tc>
        <w:tc>
          <w:tcPr>
            <w:tcW w:type="dxa" w:w="5227"/>
          </w:tcPr>
          <w:p>
            <w:r>
              <w:t>传统 ML 训练、验证定阈、测试评估</w:t>
            </w:r>
          </w:p>
        </w:tc>
      </w:tr>
      <w:tr>
        <w:tc>
          <w:tcPr>
            <w:tcW w:type="dxa" w:w="5227"/>
          </w:tcPr>
          <w:p>
            <w:r>
              <w:t>`data_analysis_standalone/run_data_analysis_classifier.py`</w:t>
            </w:r>
          </w:p>
        </w:tc>
        <w:tc>
          <w:tcPr>
            <w:tcW w:type="dxa" w:w="5227"/>
          </w:tcPr>
          <w:p>
            <w:r>
              <w:t>数据分析规则化风险评分基线</w:t>
            </w:r>
          </w:p>
        </w:tc>
      </w:tr>
      <w:tr>
        <w:tc>
          <w:tcPr>
            <w:tcW w:type="dxa" w:w="5227"/>
          </w:tcPr>
          <w:p>
            <w:r>
              <w:t>`bert_standalone/run_bert_pipeline.py`</w:t>
            </w:r>
          </w:p>
        </w:tc>
        <w:tc>
          <w:tcPr>
            <w:tcW w:type="dxa" w:w="5227"/>
          </w:tcPr>
          <w:p>
            <w:r>
              <w:t>BERT embedding/finetune 训练与评估</w:t>
            </w:r>
          </w:p>
        </w:tc>
      </w:tr>
      <w:tr>
        <w:tc>
          <w:tcPr>
            <w:tcW w:type="dxa" w:w="5227"/>
          </w:tcPr>
          <w:p>
            <w:r>
              <w:t>`llm_standalone/run_llm_two_stage.py`</w:t>
            </w:r>
          </w:p>
        </w:tc>
        <w:tc>
          <w:tcPr>
            <w:tcW w:type="dxa" w:w="5227"/>
          </w:tcPr>
          <w:p>
            <w:r>
              <w:t>两阶段 LLM 数据构建、训练配置、推理评估</w:t>
            </w:r>
          </w:p>
        </w:tc>
      </w:tr>
      <w:tr>
        <w:tc>
          <w:tcPr>
            <w:tcW w:type="dxa" w:w="5227"/>
          </w:tcPr>
          <w:p>
            <w:r>
              <w:t>`llm_standalone/run_llm_one_stage.py`</w:t>
            </w:r>
          </w:p>
        </w:tc>
        <w:tc>
          <w:tcPr>
            <w:tcW w:type="dxa" w:w="5227"/>
          </w:tcPr>
          <w:p>
            <w:r>
              <w:t>单阶段 LLM 训练与推理评估</w:t>
            </w:r>
          </w:p>
        </w:tc>
      </w:tr>
      <w:tr>
        <w:tc>
          <w:tcPr>
            <w:tcW w:type="dxa" w:w="5227"/>
          </w:tcPr>
          <w:p>
            <w:r>
              <w:t>`llm_standalone/run_llm_two_stage_full_06b.ps1`</w:t>
            </w:r>
          </w:p>
        </w:tc>
        <w:tc>
          <w:tcPr>
            <w:tcW w:type="dxa" w:w="5227"/>
          </w:tcPr>
          <w:p>
            <w:r>
              <w:t>两阶段 LLM 一键流程脚本</w:t>
            </w:r>
          </w:p>
        </w:tc>
      </w:tr>
      <w:tr>
        <w:tc>
          <w:tcPr>
            <w:tcW w:type="dxa" w:w="5227"/>
          </w:tcPr>
          <w:p>
            <w:r>
              <w:t>`llm_standalone/run_llm_one_stage_full_06b.ps1`</w:t>
            </w:r>
          </w:p>
        </w:tc>
        <w:tc>
          <w:tcPr>
            <w:tcW w:type="dxa" w:w="5227"/>
          </w:tcPr>
          <w:p>
            <w:r>
              <w:t>单阶段 LLM 一键流程脚本</w:t>
            </w:r>
          </w:p>
        </w:tc>
      </w:tr>
      <w:tr>
        <w:tc>
          <w:tcPr>
            <w:tcW w:type="dxa" w:w="5227"/>
          </w:tcPr>
          <w:p>
            <w:r>
              <w:t>`6800paper/scripts/md_to_ieee_docx.py`</w:t>
            </w:r>
          </w:p>
        </w:tc>
        <w:tc>
          <w:tcPr>
            <w:tcW w:type="dxa" w:w="5227"/>
          </w:tcPr>
          <w:p>
            <w:r>
              <w:t>从 `6800main.md` 自动生成 IEEE 双栏 Word</w:t>
            </w:r>
          </w:p>
        </w:tc>
      </w:tr>
    </w:tbl>
    <w:p>
      <w:pPr>
        <w:pStyle w:val="Heading2"/>
      </w:pPr>
      <w:r>
        <w:t>一致性与复现实证</w:t>
      </w:r>
    </w:p>
    <w:p>
      <w:pPr>
        <w:pStyle w:val="BodyText"/>
      </w:pPr>
      <w:r>
        <w:t>关键结论可由三类文件复核：主结果表（output/doc/report_tables/*.csv）、模型报告（output/*/run_report.json）、LLM/GPT 推理输出（output/llm_*/*json）。</w:t>
      </w:r>
    </w:p>
    <w:p>
      <w:pPr>
        <w:pStyle w:val="Heading2"/>
      </w:pPr>
      <w:r>
        <w:t>复现步骤（建议写入提交说明）</w:t>
      </w:r>
    </w:p>
    <w:p>
      <w:pPr>
        <w:pStyle w:val="BodyText"/>
      </w:pPr>
      <w:r>
        <w:t>1. 重建共享切分并运行 ML + DataAnalysis + BERT。</w:t>
      </w:r>
    </w:p>
    <w:p>
      <w:pPr>
        <w:pStyle w:val="BodyText"/>
      </w:pPr>
      <w:r>
        <w:t>2. 运行 run_llm_two_stage_full_06b.ps1 与 run_llm_one_stage_full_06b.ps1。</w:t>
      </w:r>
    </w:p>
    <w:p>
      <w:pPr>
        <w:pStyle w:val="BodyText"/>
      </w:pPr>
      <w:r>
        <w:t>3. 运行外部预测评估脚本并更新 gpt52_external_metrics.json。</w:t>
      </w:r>
    </w:p>
    <w:p>
      <w:pPr>
        <w:pStyle w:val="BodyText"/>
      </w:pPr>
      <w:r>
        <w:t>4. 运行全量口径 ML + DataAnalysis。</w:t>
      </w:r>
    </w:p>
    <w:p>
      <w:pPr>
        <w:pStyle w:val="BodyText"/>
      </w:pPr>
      <w:r>
        <w:t>5. 更新 6800main.md 后执行 md_to_ieee_docx.py 生成最终 IEEE 文档。</w:t>
      </w:r>
    </w:p>
    <w:p>
      <w:pPr>
        <w:pStyle w:val="Heading1"/>
      </w:pPr>
      <w:r>
        <w:t>结论 (Conclusion)</w:t>
      </w:r>
    </w:p>
    <w:p>
      <w:pPr>
        <w:pStyle w:val="BodyText"/>
      </w:pPr>
      <w:r>
        <w:t>本文在统一数据、切分与阈值流程下，对传统模型、BERT、两阶段/单阶段 LLM 与外部 GPT-5.2 进行了双口径比较。结论如下：</w:t>
      </w:r>
    </w:p>
    <w:p>
      <w:pPr>
        <w:pStyle w:val="BodyText"/>
      </w:pPr>
      <w:r>
        <w:t>1. 结构化模型（尤其 logistic_tabular 与 DataAnalysis）在固定拒绝率场景下仍更稳健。</w:t>
      </w:r>
    </w:p>
    <w:p>
      <w:pPr>
        <w:pStyle w:val="BodyText"/>
      </w:pPr>
      <w:r>
        <w:t>2. 两阶段 LLM 的阈值重标定可以显著提升召回，但不足以弥补整体判别差距；单阶段 LLM 与 GPT-5.2 当前主要通过高拒绝率获取高召回。</w:t>
      </w:r>
    </w:p>
    <w:p>
      <w:pPr>
        <w:pStyle w:val="BodyText"/>
      </w:pPr>
      <w:r>
        <w:t>3. 全量真实分布口径下 xgboost_tabular 综合最优，说明模型排序受样本分布与目标 RR 影响。</w:t>
      </w:r>
    </w:p>
    <w:p>
      <w:pPr>
        <w:pStyle w:val="BodyText"/>
      </w:pPr>
      <w:r>
        <w:t>4. 当前最可行路线是“结构化主判 + LLM 解释辅助 + 人工复核联动”。</w:t>
      </w:r>
    </w:p>
    <w:p>
      <w:pPr>
        <w:pStyle w:val="BodyText"/>
      </w:pPr>
      <w:r>
        <w:t>本文的主要价值是建立与业务约束一致、与代码产物一致、可复现可审计的比较框架，而非追求单一离线高分。</w:t>
      </w:r>
    </w:p>
    <w:p>
      <w:pPr>
        <w:pStyle w:val="Heading1"/>
      </w:pPr>
      <w:r>
        <w:t>参考文献 (References)</w:t>
      </w:r>
    </w:p>
    <w:p>
      <w:pPr>
        <w:pStyle w:val="BodyText"/>
      </w:pPr>
      <w:r>
        <w:t>[1] D. J. Hand and W. E. Henley, “Statistical Classification Methods in Consumer Credit Scoring: A Review,” *Journal of the Royal Statistical Society Series A: Statistics in Society*, vol. 160, no. 3, pp. 523-541, 1997, doi: 10.1111/j.1467-985X.1997.00078.x. [2] L. C. Thomas, “A survey of credit and behavioural scoring: forecasting financial risk of lending to consumers,” *International Journal of Forecasting*, vol. 16, no. 2, pp. 149-172, 2000, doi: 10.1016/S0169-2070(00)00034-0. [3] A. E. Khandani, A. J. Kim, and A. W. Lo, “Consumer credit-risk models via machine-learning algorithms,” *Journal of Banking &amp; Finance*, vol. 34, no. 11, pp. 2767-2787, 2010, doi: 10.1016/j.jbankfin.2010.06.001. [4] S. Lessmann, B. Baesens, H.-V. Seow, and L. C. Thomas, “Benchmarking state-of-the-art classification algorithms for credit scoring: An update of research,” *European Journal of Operational Research*, vol. 247, no. 1, pp. 124-136, 2015, doi: 10.1016/j.ejor.2015.05.030. [5] T. Chen and C. Guestrin, “XGBoost: A Scalable Tree Boosting System,” in *Proceedings of the 22nd ACM SIGKDD International Conference on Knowledge Discovery and Data Mining*, 2016, pp. 785-794, doi: 10.1145/2939672.2939785. [6] M. Lin, N. R. Prabhala, and S. Viswanathan, “Judging Borrowers by the Company They Keep: Friendship Networks and Information Asymmetry in Online Peer-to-Peer Lending,” *Management Science*, vol. 59, no. 1, pp. 17-35, 2013, doi: 10.1287/mnsc.1120.1560. [7] C. Serrano-Cinca, B. Gutiérrez-Nieto, and L. López-Palacios, “Determinants of Default in P2P Lending,” *PLOS ONE*, vol. 10, no. 10, p. e0139427, 2015, doi: 10.1371/journal.pone.0139427. [8] R. Emekter, Y. Tu, B. Jirasakuldech, and M. Lu, “Evaluating credit risk and loan performance in online Peer-to-Peer (P2P) lending,” *Applied Economics*, vol. 47, no. 1, pp. 54-70, 2015, doi: 10.1080/00036846.2014.962222. [9] R. Iyer, A. I. Khwaja, E. F. P. Luttmer, and K. Shue, “Screening Peers Softly: Inferring the Quality of Small Borrowers,” *Management Science*, vol. 62, no. 6, pp. 1554-1577, 2016, doi: 10.1287/mnsc.2015.2181. [10] G. Dorfleitner, C. Priberny, S. Schuster, J. Stoiber, M. Weber, I. de Castro, and J. Kammler, “Description-text related soft information in peer-to-peer lending - Evidence from two leading European platforms,” *Journal of Banking &amp; Finance*, vol. 64, pp. 169-187, 2016, doi: 10.1016/j.jbankfin.2015.11.009. [11] C. Jiang, Z. Wang, R. Wang, and Y. Ding, “Loan default prediction by combining soft information extracted from descriptive text in online peer-to-peer lending,” *Annals of Operations Research*, vol. 266, no. 1-2, pp. 511-529, 2018, doi: 10.1007/s10479-017-2668-z. [12] J. Yao, J. Chen, J. Wei, Y. Chen, and S. Yang, “The relationship between soft information in loan titles and online peer-to-peer lending: evidence from RenRenDai platform,” *Electronic Commerce Research*, vol. 19, no. 1, pp. 111-129, 2019, doi: 10.1007/s10660-018-9293-z. [13] C. Wang, W. Zhang, X. Zhao, and J. Wang, “Soft information in online peer-to-peer lending: Evidence from a leading platform in China,” *Electronic Commerce Research and Applications*, vol. 36, p. 100873, 2019, doi: 10.1016/j.elerap.2019.100873. [14] Y. Xia, L. He, Y. Li, N. Liu, and Y. Ding, “Predicting loan default in peer-to-peer lending using narrative data,” *Journal of Forecasting*, vol. 39, no. 2, pp. 260-280, 2020, doi: 10.1002/for.2625. [15] Z. Wang, C. Jiang, H. Zhao, and Y. Ding, “Mining Semantic Soft Factors for Credit Risk Evaluation in Peer-to-Peer Lending,” *Journal of Management Information Systems*, vol. 37, no. 1, pp. 282-308, 2020, doi: 10.1080/07421222.2019.1705513. [16] J. Kriebel and L. Stitz, “Credit default prediction from user-generated text in peer-to-peer lending using deep learning,” *European Journal of Operational Research*, vol. 302, no. 1, pp. 309-323, 2022, doi: 10.1016/j.ejor.2021.12.024. [17] M. Siering, “Peer-to-Peer (P2P) Lending Risk Management: Assessing Credit Risk on Social Lending Platforms Using Textual Factors,” *ACM Transactions on Management Information Systems*, vol. 14, no. 3, pp. 1-19, 2023, doi: 10.1145/3589003. [18] A. Vaswani *et al*., “Attention Is All You Need,” in *Advances in Neural Information Processing Systems 30*, 2017, doi: 10.48550/arXiv.1706.03762. [19] J. Devlin, M.-W. Chang, K. Lee, and K. Toutanova, “BERT: Pre-training of Deep Bidirectional Transformers for Language Understanding,” in *Proceedings of NAACL-HLT*, 2019, pp. 4171-4186, doi: 10.18653/v1/N19-1423. [20] E. J. Hu *et al*., “LoRA: Low-Rank Adaptation of Large Language Models,” arXiv:2106.09685, 2021, doi: 10.48550/arXiv.2106.09685. [21] OpenAI *et al*., “GPT-4 Technical Report,” arXiv:2303.08774, 2023, doi: 10.48550/arXiv.2303.08774. [22] T. Berg, V. Burg, A. Gombović, and M. Puri, “On the Rise of FinTechs: Credit Scoring Using Digital Footprints,” *The Review of Financial Studies*, vol. 33, no. 7, pp. 2845-2897, 2020, doi: 10.1093/rfs/hhz099. [23] LendingClub, “LendingClub Statistics and Loan Data,” [Online]. Available: https://www.lendingclub.com/info/download-data.action (archived: https://web.archive.org/web/20110816083005/https://www.lendingclub.com/info/download-data.action). [Accessed: Feb. 21, 2026].</w:t>
      </w:r>
    </w:p>
    <w:sectPr w:rsidR="009303D9" w:rsidRPr="00F96569">
      <w:type w:val="continuous"/>
      <w:pgSz w:w="612pt" w:h="792pt" w:code="1"/>
      <w:pgMar w:top="54pt" w:right="44.65pt" w:bottom="72pt" w:left="44.65pt" w:header="36pt" w:footer="36pt" w:gutter="0pt"/>
      <w:cols w:space="720" w:num="2"/>
      <w:docGrid w:linePitch="360"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endnote w:type="separator" w:id="-1">
    <w:p w14:paraId="67B1AF66" w14:textId="77777777" w:rsidR="00F12284" w:rsidRDefault="00F12284" w:rsidP="001A3B3D">
      <w:r>
        <w:separator/>
      </w:r>
    </w:p>
  </w:endnote>
  <w:endnote w:type="continuationSeparator" w:id="0">
    <w:p w14:paraId="4E8FDCAD" w14:textId="77777777" w:rsidR="00F12284" w:rsidRDefault="00F12284" w:rsidP="001A3B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characterSet="iso-8859-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characterSet="GBK"/>
    <w:family w:val="auto"/>
    <w:pitch w:val="variable"/>
    <w:sig w:usb0="00000203" w:usb1="288F0000" w:usb2="00000016" w:usb3="00000000" w:csb0="00040001" w:csb1="00000000"/>
  </w:font>
  <w:font w:name="MS Mincho">
    <w:altName w:val="ＭＳ 明朝"/>
    <w:panose1 w:val="02020609040205080304"/>
    <w:charset w:characterSet="shift_jis"/>
    <w:family w:val="modern"/>
    <w:pitch w:val="fixed"/>
    <w:sig w:usb0="E00002FF" w:usb1="6AC7FDFB" w:usb2="08000012" w:usb3="00000000" w:csb0="0002009F" w:csb1="00000000"/>
  </w:font>
  <w:font w:name="NimbusRomNo9L-Regu">
    <w:altName w:val="Yu Gothic"/>
    <w:panose1 w:val="00000000000000000000"/>
    <w:charset w:characterSet="shift_jis"/>
    <w:family w:val="auto"/>
    <w:notTrueType/>
    <w:pitch w:val="default"/>
    <w:sig w:usb0="00000001" w:usb1="08070000" w:usb2="00000010" w:usb3="00000000" w:csb0="00020000" w:csb1="00000000"/>
  </w:font>
  <w:font w:name="Calibri Light">
    <w:panose1 w:val="020F0302020204030204"/>
    <w:charset w:characterSet="iso-8859-1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p w14:paraId="22221F62" w14:textId="77777777" w:rsidR="001A3B3D" w:rsidRPr="006F6D3D" w:rsidRDefault="001A3B3D" w:rsidP="0056610F">
    <w:pPr>
      <w:pStyle w:val="Footer"/>
      <w:jc w:val="start"/>
      <w:rPr>
        <w:sz w:val="16"/>
        <w:szCs w:val="16"/>
      </w:rPr>
    </w:pPr>
    <w:r w:rsidRPr="006F6D3D">
      <w:rPr>
        <w:sz w:val="16"/>
        <w:szCs w:val="16"/>
      </w:rPr>
      <w:t>XXX-X-XXXX-XXXX-X/XX/$XX.00 ©20XX IEEE</w:t>
    </w:r>
  </w:p>
</w:ftr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footnote w:type="separator" w:id="-1">
    <w:p w14:paraId="609A2DC3" w14:textId="77777777" w:rsidR="00F12284" w:rsidRDefault="00F12284" w:rsidP="001A3B3D">
      <w:r>
        <w:separator/>
      </w:r>
    </w:p>
  </w:footnote>
  <w:footnote w:type="continuationSeparator" w:id="0">
    <w:p w14:paraId="77E5FDEE" w14:textId="77777777" w:rsidR="00F12284" w:rsidRDefault="00F12284" w:rsidP="001A3B3D">
      <w:r>
        <w:continuationSeparator/>
      </w:r>
    </w:p>
  </w:footnote>
</w:footnotes>
</file>

<file path=word/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abstractNum w:abstractNumId="0" w15:restartNumberingAfterBreak="0">
    <w:nsid w:val="FFFFFF1D"/>
    <w:multiLevelType w:val="multilevel"/>
    <w:tmpl w:val="7A36CE9E"/>
    <w:lvl w:ilvl="0">
      <w:start w:val="1"/>
      <w:numFmt w:val="bullet"/>
      <w:lvlText w:val=""/>
      <w:lvlJc w:val="start"/>
      <w:pPr>
        <w:tabs>
          <w:tab w:val="num" w:pos="0pt"/>
        </w:tabs>
        <w:ind w:start="0pt" w:firstLine="0pt"/>
      </w:pPr>
      <w:rPr>
        <w:rFonts w:ascii="Symbol" w:hAnsi="Symbol" w:hint="default"/>
      </w:rPr>
    </w:lvl>
    <w:lvl w:ilvl="1">
      <w:start w:val="1"/>
      <w:numFmt w:val="bullet"/>
      <w:lvlText w:val=""/>
      <w:lvlJc w:val="start"/>
      <w:pPr>
        <w:tabs>
          <w:tab w:val="num" w:pos="36pt"/>
        </w:tabs>
        <w:ind w:start="54pt" w:hanging="18pt"/>
      </w:pPr>
      <w:rPr>
        <w:rFonts w:ascii="Symbol" w:hAnsi="Symbol" w:hint="default"/>
      </w:rPr>
    </w:lvl>
    <w:lvl w:ilvl="2">
      <w:start w:val="1"/>
      <w:numFmt w:val="bullet"/>
      <w:lvlText w:val="o"/>
      <w:lvlJc w:val="start"/>
      <w:pPr>
        <w:tabs>
          <w:tab w:val="num" w:pos="72pt"/>
        </w:tabs>
        <w:ind w:start="90pt" w:hanging="18pt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start"/>
      <w:pPr>
        <w:tabs>
          <w:tab w:val="num" w:pos="108pt"/>
        </w:tabs>
        <w:ind w:start="126pt" w:hanging="18pt"/>
      </w:pPr>
      <w:rPr>
        <w:rFonts w:ascii="Wingdings" w:hAnsi="Wingdings" w:hint="default"/>
      </w:rPr>
    </w:lvl>
    <w:lvl w:ilvl="4">
      <w:start w:val="1"/>
      <w:numFmt w:val="bullet"/>
      <w:lvlText w:val=""/>
      <w:lvlJc w:val="start"/>
      <w:pPr>
        <w:tabs>
          <w:tab w:val="num" w:pos="144pt"/>
        </w:tabs>
        <w:ind w:start="162pt" w:hanging="18pt"/>
      </w:pPr>
      <w:rPr>
        <w:rFonts w:ascii="Wingdings" w:hAnsi="Wingdings" w:hint="default"/>
      </w:rPr>
    </w:lvl>
    <w:lvl w:ilvl="5">
      <w:start w:val="1"/>
      <w:numFmt w:val="bullet"/>
      <w:lvlText w:val=""/>
      <w:lvlJc w:val="start"/>
      <w:pPr>
        <w:tabs>
          <w:tab w:val="num" w:pos="180pt"/>
        </w:tabs>
        <w:ind w:start="198pt" w:hanging="18pt"/>
      </w:pPr>
      <w:rPr>
        <w:rFonts w:ascii="Symbol" w:hAnsi="Symbol" w:hint="default"/>
      </w:rPr>
    </w:lvl>
    <w:lvl w:ilvl="6">
      <w:start w:val="1"/>
      <w:numFmt w:val="bullet"/>
      <w:lvlText w:val="o"/>
      <w:lvlJc w:val="start"/>
      <w:pPr>
        <w:tabs>
          <w:tab w:val="num" w:pos="216pt"/>
        </w:tabs>
        <w:ind w:start="234pt" w:hanging="18pt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start"/>
      <w:pPr>
        <w:tabs>
          <w:tab w:val="num" w:pos="252pt"/>
        </w:tabs>
        <w:ind w:start="270pt" w:hanging="18pt"/>
      </w:pPr>
      <w:rPr>
        <w:rFonts w:ascii="Wingdings" w:hAnsi="Wingdings" w:hint="default"/>
      </w:rPr>
    </w:lvl>
    <w:lvl w:ilvl="8">
      <w:start w:val="1"/>
      <w:numFmt w:val="bullet"/>
      <w:lvlText w:val=""/>
      <w:lvlJc w:val="start"/>
      <w:pPr>
        <w:tabs>
          <w:tab w:val="num" w:pos="288pt"/>
        </w:tabs>
        <w:ind w:start="306pt" w:hanging="18pt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DD629BEE"/>
    <w:lvl w:ilvl="0">
      <w:start w:val="1"/>
      <w:numFmt w:val="decimal"/>
      <w:lvlText w:val="%1."/>
      <w:lvlJc w:val="start"/>
      <w:pPr>
        <w:tabs>
          <w:tab w:val="num" w:pos="74.60pt"/>
        </w:tabs>
        <w:ind w:start="74.60pt" w:hanging="18pt"/>
      </w:pPr>
    </w:lvl>
  </w:abstractNum>
  <w:abstractNum w:abstractNumId="2" w15:restartNumberingAfterBreak="0">
    <w:nsid w:val="FFFFFF7D"/>
    <w:multiLevelType w:val="singleLevel"/>
    <w:tmpl w:val="2648E1C4"/>
    <w:lvl w:ilvl="0">
      <w:start w:val="1"/>
      <w:numFmt w:val="decimal"/>
      <w:lvlText w:val="%1."/>
      <w:lvlJc w:val="start"/>
      <w:pPr>
        <w:tabs>
          <w:tab w:val="num" w:pos="60.45pt"/>
        </w:tabs>
        <w:ind w:start="60.45pt" w:hanging="18pt"/>
      </w:pPr>
    </w:lvl>
  </w:abstractNum>
  <w:abstractNum w:abstractNumId="3" w15:restartNumberingAfterBreak="0">
    <w:nsid w:val="FFFFFF7E"/>
    <w:multiLevelType w:val="singleLevel"/>
    <w:tmpl w:val="9D38DB54"/>
    <w:lvl w:ilvl="0">
      <w:start w:val="1"/>
      <w:numFmt w:val="decimal"/>
      <w:lvlText w:val="%1."/>
      <w:lvlJc w:val="start"/>
      <w:pPr>
        <w:tabs>
          <w:tab w:val="num" w:pos="46.30pt"/>
        </w:tabs>
        <w:ind w:start="46.30pt" w:hanging="18pt"/>
      </w:pPr>
    </w:lvl>
  </w:abstractNum>
  <w:abstractNum w:abstractNumId="4" w15:restartNumberingAfterBreak="0">
    <w:nsid w:val="FFFFFF7F"/>
    <w:multiLevelType w:val="singleLevel"/>
    <w:tmpl w:val="632C24E2"/>
    <w:lvl w:ilvl="0">
      <w:start w:val="1"/>
      <w:numFmt w:val="decimal"/>
      <w:lvlText w:val="%1."/>
      <w:lvlJc w:val="start"/>
      <w:pPr>
        <w:tabs>
          <w:tab w:val="num" w:pos="32.15pt"/>
        </w:tabs>
        <w:ind w:start="32.15pt" w:hanging="18pt"/>
      </w:pPr>
    </w:lvl>
  </w:abstractNum>
  <w:abstractNum w:abstractNumId="5" w15:restartNumberingAfterBreak="0">
    <w:nsid w:val="FFFFFF80"/>
    <w:multiLevelType w:val="singleLevel"/>
    <w:tmpl w:val="82268A14"/>
    <w:lvl w:ilvl="0">
      <w:start w:val="1"/>
      <w:numFmt w:val="bullet"/>
      <w:lvlText w:val=""/>
      <w:lvlJc w:val="start"/>
      <w:pPr>
        <w:tabs>
          <w:tab w:val="num" w:pos="74.60pt"/>
        </w:tabs>
        <w:ind w:start="74.60pt" w:hanging="18pt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8C0E77FE"/>
    <w:lvl w:ilvl="0">
      <w:start w:val="1"/>
      <w:numFmt w:val="bullet"/>
      <w:lvlText w:val=""/>
      <w:lvlJc w:val="start"/>
      <w:pPr>
        <w:tabs>
          <w:tab w:val="num" w:pos="60.45pt"/>
        </w:tabs>
        <w:ind w:start="60.45pt" w:hanging="18pt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174639B8"/>
    <w:lvl w:ilvl="0">
      <w:start w:val="1"/>
      <w:numFmt w:val="bullet"/>
      <w:lvlText w:val=""/>
      <w:lvlJc w:val="start"/>
      <w:pPr>
        <w:tabs>
          <w:tab w:val="num" w:pos="46.30pt"/>
        </w:tabs>
        <w:ind w:start="46.30pt" w:hanging="18pt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B1ACC408"/>
    <w:lvl w:ilvl="0">
      <w:start w:val="1"/>
      <w:numFmt w:val="bullet"/>
      <w:lvlText w:val=""/>
      <w:lvlJc w:val="start"/>
      <w:pPr>
        <w:tabs>
          <w:tab w:val="num" w:pos="32.15pt"/>
        </w:tabs>
        <w:ind w:start="32.15pt" w:hanging="18pt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229E8DFE"/>
    <w:lvl w:ilvl="0">
      <w:start w:val="1"/>
      <w:numFmt w:val="decimal"/>
      <w:lvlText w:val="%1."/>
      <w:lvlJc w:val="start"/>
      <w:pPr>
        <w:tabs>
          <w:tab w:val="num" w:pos="18pt"/>
        </w:tabs>
        <w:ind w:start="18pt" w:hanging="18pt"/>
      </w:pPr>
    </w:lvl>
  </w:abstractNum>
  <w:abstractNum w:abstractNumId="10" w15:restartNumberingAfterBreak="0">
    <w:nsid w:val="FFFFFF89"/>
    <w:multiLevelType w:val="singleLevel"/>
    <w:tmpl w:val="EA847AFE"/>
    <w:lvl w:ilvl="0">
      <w:start w:val="1"/>
      <w:numFmt w:val="bullet"/>
      <w:lvlText w:val=""/>
      <w:lvlJc w:val="start"/>
      <w:pPr>
        <w:tabs>
          <w:tab w:val="num" w:pos="18pt"/>
        </w:tabs>
        <w:ind w:start="18pt" w:hanging="18pt"/>
      </w:pPr>
      <w:rPr>
        <w:rFonts w:ascii="Symbol" w:hAnsi="Symbol" w:hint="default"/>
      </w:rPr>
    </w:lvl>
  </w:abstractNum>
  <w:abstractNum w:abstractNumId="11" w15:restartNumberingAfterBreak="0">
    <w:nsid w:val="1E177E97"/>
    <w:multiLevelType w:val="hybridMultilevel"/>
    <w:tmpl w:val="A6463BCE"/>
    <w:lvl w:ilvl="0" w:tplc="04140013">
      <w:start w:val="1"/>
      <w:numFmt w:val="upperRoman"/>
      <w:lvlText w:val="%1."/>
      <w:lvlJc w:val="end"/>
      <w:pPr>
        <w:ind w:start="46.80pt" w:hanging="18pt"/>
      </w:pPr>
    </w:lvl>
    <w:lvl w:ilvl="1" w:tplc="04140019" w:tentative="1">
      <w:start w:val="1"/>
      <w:numFmt w:val="lowerLetter"/>
      <w:lvlText w:val="%2."/>
      <w:lvlJc w:val="start"/>
      <w:pPr>
        <w:ind w:start="82.80pt" w:hanging="18pt"/>
      </w:pPr>
    </w:lvl>
    <w:lvl w:ilvl="2" w:tplc="0414001B" w:tentative="1">
      <w:start w:val="1"/>
      <w:numFmt w:val="lowerRoman"/>
      <w:lvlText w:val="%3."/>
      <w:lvlJc w:val="end"/>
      <w:pPr>
        <w:ind w:start="118.80pt" w:hanging="9pt"/>
      </w:pPr>
    </w:lvl>
    <w:lvl w:ilvl="3" w:tplc="0414000F" w:tentative="1">
      <w:start w:val="1"/>
      <w:numFmt w:val="decimal"/>
      <w:lvlText w:val="%4."/>
      <w:lvlJc w:val="start"/>
      <w:pPr>
        <w:ind w:start="154.80pt" w:hanging="18pt"/>
      </w:pPr>
    </w:lvl>
    <w:lvl w:ilvl="4" w:tplc="04140019" w:tentative="1">
      <w:start w:val="1"/>
      <w:numFmt w:val="lowerLetter"/>
      <w:lvlText w:val="%5."/>
      <w:lvlJc w:val="start"/>
      <w:pPr>
        <w:ind w:start="190.80pt" w:hanging="18pt"/>
      </w:pPr>
    </w:lvl>
    <w:lvl w:ilvl="5" w:tplc="0414001B" w:tentative="1">
      <w:start w:val="1"/>
      <w:numFmt w:val="lowerRoman"/>
      <w:lvlText w:val="%6."/>
      <w:lvlJc w:val="end"/>
      <w:pPr>
        <w:ind w:start="226.80pt" w:hanging="9pt"/>
      </w:pPr>
    </w:lvl>
    <w:lvl w:ilvl="6" w:tplc="0414000F" w:tentative="1">
      <w:start w:val="1"/>
      <w:numFmt w:val="decimal"/>
      <w:lvlText w:val="%7."/>
      <w:lvlJc w:val="start"/>
      <w:pPr>
        <w:ind w:start="262.80pt" w:hanging="18pt"/>
      </w:pPr>
    </w:lvl>
    <w:lvl w:ilvl="7" w:tplc="04140019" w:tentative="1">
      <w:start w:val="1"/>
      <w:numFmt w:val="lowerLetter"/>
      <w:lvlText w:val="%8."/>
      <w:lvlJc w:val="start"/>
      <w:pPr>
        <w:ind w:start="298.80pt" w:hanging="18pt"/>
      </w:pPr>
    </w:lvl>
    <w:lvl w:ilvl="8" w:tplc="0414001B" w:tentative="1">
      <w:start w:val="1"/>
      <w:numFmt w:val="lowerRoman"/>
      <w:lvlText w:val="%9."/>
      <w:lvlJc w:val="end"/>
      <w:pPr>
        <w:ind w:start="334.80pt" w:hanging="9pt"/>
      </w:pPr>
    </w:lvl>
  </w:abstractNum>
  <w:abstractNum w:abstractNumId="12" w15:restartNumberingAfterBreak="0">
    <w:nsid w:val="20AF0333"/>
    <w:multiLevelType w:val="hybridMultilevel"/>
    <w:tmpl w:val="CB0E7F4E"/>
    <w:lvl w:ilvl="0" w:tplc="E09099E0">
      <w:start w:val="1"/>
      <w:numFmt w:val="lowerLetter"/>
      <w:lvlText w:val="%1."/>
      <w:lvlJc w:val="start"/>
      <w:pPr>
        <w:tabs>
          <w:tab w:val="num" w:pos="36pt"/>
        </w:tabs>
        <w:ind w:start="36pt" w:hanging="18pt"/>
      </w:pPr>
      <w:rPr>
        <w:rFonts w:cs="Times New Roman" w:hint="default"/>
        <w:i w:val="0"/>
        <w:iCs w:val="0"/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13" w15:restartNumberingAfterBreak="0">
    <w:nsid w:val="26FE1FCF"/>
    <w:multiLevelType w:val="hybridMultilevel"/>
    <w:tmpl w:val="33826962"/>
    <w:lvl w:ilvl="0" w:tplc="A2947960">
      <w:start w:val="1"/>
      <w:numFmt w:val="decimal"/>
      <w:pStyle w:val="footnote"/>
      <w:lvlText w:val="%1 "/>
      <w:lvlJc w:val="start"/>
      <w:pPr>
        <w:tabs>
          <w:tab w:val="num" w:pos="32.40pt"/>
        </w:tabs>
        <w:ind w:firstLine="14.40pt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trike w:val="0"/>
        <w:dstrike w:val="0"/>
        <w:vanish w:val="0"/>
        <w:color w:val="000000"/>
        <w:sz w:val="16"/>
        <w:szCs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14" w15:restartNumberingAfterBreak="0">
    <w:nsid w:val="37660336"/>
    <w:multiLevelType w:val="hybridMultilevel"/>
    <w:tmpl w:val="754EAC84"/>
    <w:lvl w:ilvl="0" w:tplc="C46877EA">
      <w:start w:val="1"/>
      <w:numFmt w:val="bullet"/>
      <w:pStyle w:val="bulletlist"/>
      <w:lvlText w:val=""/>
      <w:lvlJc w:val="start"/>
      <w:pPr>
        <w:tabs>
          <w:tab w:val="num" w:pos="32.40pt"/>
        </w:tabs>
        <w:ind w:start="32.40pt" w:hanging="18pt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start"/>
      <w:pPr>
        <w:tabs>
          <w:tab w:val="num" w:pos="72pt"/>
        </w:tabs>
        <w:ind w:start="72pt" w:hanging="18pt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start"/>
      <w:pPr>
        <w:tabs>
          <w:tab w:val="num" w:pos="108pt"/>
        </w:tabs>
        <w:ind w:start="108pt" w:hanging="18pt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start"/>
      <w:pPr>
        <w:tabs>
          <w:tab w:val="num" w:pos="144pt"/>
        </w:tabs>
        <w:ind w:start="144pt" w:hanging="18pt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start"/>
      <w:pPr>
        <w:tabs>
          <w:tab w:val="num" w:pos="180pt"/>
        </w:tabs>
        <w:ind w:start="180pt" w:hanging="18pt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start"/>
      <w:pPr>
        <w:tabs>
          <w:tab w:val="num" w:pos="216pt"/>
        </w:tabs>
        <w:ind w:start="216pt" w:hanging="18pt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start"/>
      <w:pPr>
        <w:tabs>
          <w:tab w:val="num" w:pos="252pt"/>
        </w:tabs>
        <w:ind w:start="252pt" w:hanging="18pt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start"/>
      <w:pPr>
        <w:tabs>
          <w:tab w:val="num" w:pos="288pt"/>
        </w:tabs>
        <w:ind w:start="288pt" w:hanging="18pt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start"/>
      <w:pPr>
        <w:tabs>
          <w:tab w:val="num" w:pos="324pt"/>
        </w:tabs>
        <w:ind w:start="324pt" w:hanging="18pt"/>
      </w:pPr>
      <w:rPr>
        <w:rFonts w:ascii="Wingdings" w:hAnsi="Wingdings" w:hint="default"/>
      </w:rPr>
    </w:lvl>
  </w:abstractNum>
  <w:abstractNum w:abstractNumId="15" w15:restartNumberingAfterBreak="0">
    <w:nsid w:val="39E54FC6"/>
    <w:multiLevelType w:val="singleLevel"/>
    <w:tmpl w:val="5B7288D4"/>
    <w:lvl w:ilvl="0">
      <w:start w:val="14"/>
      <w:numFmt w:val="decimal"/>
      <w:lvlText w:val="%1"/>
      <w:lvlJc w:val="start"/>
      <w:pPr>
        <w:tabs>
          <w:tab w:val="num" w:pos="36pt"/>
        </w:tabs>
        <w:ind w:start="36pt" w:hanging="18pt"/>
      </w:pPr>
      <w:rPr>
        <w:rFonts w:cs="Times New Roman" w:hint="default"/>
      </w:rPr>
    </w:lvl>
  </w:abstractNum>
  <w:abstractNum w:abstractNumId="16" w15:restartNumberingAfterBreak="0">
    <w:nsid w:val="4189603E"/>
    <w:multiLevelType w:val="multilevel"/>
    <w:tmpl w:val="0AB06E12"/>
    <w:lvl w:ilvl="0">
      <w:start w:val="1"/>
      <w:numFmt w:val="upperRoman"/>
      <w:pStyle w:val="Heading1"/>
      <w:lvlText w:val="%1."/>
      <w:lvlJc w:val="center"/>
      <w:pPr>
        <w:tabs>
          <w:tab w:val="num" w:pos="28.80pt"/>
        </w:tabs>
        <w:ind w:firstLine="10.80pt"/>
      </w:pPr>
      <w:rPr>
        <w:rFonts w:ascii="Times New Roman" w:hAnsi="Times New Roman" w:cs="Times New Roman" w:hint="default"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upperLetter"/>
      <w:pStyle w:val="Heading2"/>
      <w:lvlText w:val="%2."/>
      <w:lvlJc w:val="start"/>
      <w:pPr>
        <w:tabs>
          <w:tab w:val="num" w:pos="18pt"/>
        </w:tabs>
        <w:ind w:start="14.40pt" w:hanging="14.40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Heading3"/>
      <w:lvlText w:val="%3)"/>
      <w:lvlJc w:val="start"/>
      <w:pPr>
        <w:tabs>
          <w:tab w:val="num" w:pos="27pt"/>
        </w:tabs>
        <w:ind w:firstLine="9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lowerLetter"/>
      <w:pStyle w:val="Heading4"/>
      <w:lvlText w:val="%4)"/>
      <w:lvlJc w:val="start"/>
      <w:pPr>
        <w:tabs>
          <w:tab w:val="num" w:pos="31.50pt"/>
        </w:tabs>
        <w:ind w:firstLine="18pt"/>
      </w:pPr>
      <w:rPr>
        <w:rFonts w:ascii="Times New Roman" w:hAnsi="Times New Roman" w:cs="Times New Roman" w:hint="default"/>
        <w:b w:val="0"/>
        <w:bCs w:val="0"/>
        <w:i/>
        <w:iCs/>
        <w:sz w:val="20"/>
        <w:szCs w:val="20"/>
      </w:rPr>
    </w:lvl>
    <w:lvl w:ilvl="4">
      <w:start w:val="1"/>
      <w:numFmt w:val="none"/>
      <w:lvlRestart w:val="0"/>
      <w:lvlText w:val=""/>
      <w:lvlJc w:val="start"/>
      <w:pPr>
        <w:tabs>
          <w:tab w:val="num" w:pos="162pt"/>
        </w:tabs>
        <w:ind w:start="144pt"/>
      </w:pPr>
      <w:rPr>
        <w:rFonts w:cs="Times New Roman" w:hint="default"/>
      </w:rPr>
    </w:lvl>
    <w:lvl w:ilvl="5">
      <w:start w:val="1"/>
      <w:numFmt w:val="lowerLetter"/>
      <w:lvlText w:val="(%6)"/>
      <w:lvlJc w:val="start"/>
      <w:pPr>
        <w:tabs>
          <w:tab w:val="num" w:pos="198pt"/>
        </w:tabs>
        <w:ind w:start="180pt"/>
      </w:pPr>
      <w:rPr>
        <w:rFonts w:cs="Times New Roman" w:hint="default"/>
      </w:rPr>
    </w:lvl>
    <w:lvl w:ilvl="6">
      <w:start w:val="1"/>
      <w:numFmt w:val="lowerRoman"/>
      <w:lvlText w:val="(%7)"/>
      <w:lvlJc w:val="start"/>
      <w:pPr>
        <w:tabs>
          <w:tab w:val="num" w:pos="234pt"/>
        </w:tabs>
        <w:ind w:start="216pt"/>
      </w:pPr>
      <w:rPr>
        <w:rFonts w:cs="Times New Roman" w:hint="default"/>
      </w:rPr>
    </w:lvl>
    <w:lvl w:ilvl="7">
      <w:start w:val="1"/>
      <w:numFmt w:val="lowerLetter"/>
      <w:lvlText w:val="(%8)"/>
      <w:lvlJc w:val="start"/>
      <w:pPr>
        <w:tabs>
          <w:tab w:val="num" w:pos="270pt"/>
        </w:tabs>
        <w:ind w:start="252pt"/>
      </w:pPr>
      <w:rPr>
        <w:rFonts w:cs="Times New Roman" w:hint="default"/>
      </w:rPr>
    </w:lvl>
    <w:lvl w:ilvl="8">
      <w:start w:val="1"/>
      <w:numFmt w:val="lowerRoman"/>
      <w:lvlText w:val="(%9)"/>
      <w:lvlJc w:val="start"/>
      <w:pPr>
        <w:tabs>
          <w:tab w:val="num" w:pos="306pt"/>
        </w:tabs>
        <w:ind w:start="288pt"/>
      </w:pPr>
      <w:rPr>
        <w:rFonts w:cs="Times New Roman" w:hint="default"/>
      </w:rPr>
    </w:lvl>
  </w:abstractNum>
  <w:abstractNum w:abstractNumId="17" w15:restartNumberingAfterBreak="0">
    <w:nsid w:val="493C3F76"/>
    <w:multiLevelType w:val="hybridMultilevel"/>
    <w:tmpl w:val="9A9E418C"/>
    <w:lvl w:ilvl="0" w:tplc="2C18EFA4">
      <w:start w:val="1"/>
      <w:numFmt w:val="lowerLetter"/>
      <w:pStyle w:val="tablefootnote"/>
      <w:lvlText w:val="%1."/>
      <w:lvlJc w:val="end"/>
      <w:pPr>
        <w:ind w:start="20.90pt" w:hanging="18pt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auto"/>
        <w:spacing w:val="0"/>
        <w:w w:val="100%"/>
        <w:kern w:val="0"/>
        <w:position w:val="0"/>
        <w:sz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 w:tentative="1">
      <w:start w:val="1"/>
      <w:numFmt w:val="lowerLetter"/>
      <w:lvlText w:val="%2."/>
      <w:lvlJc w:val="start"/>
      <w:pPr>
        <w:ind w:start="72pt" w:hanging="18pt"/>
      </w:pPr>
    </w:lvl>
    <w:lvl w:ilvl="2" w:tplc="0409001B" w:tentative="1">
      <w:start w:val="1"/>
      <w:numFmt w:val="lowerRoman"/>
      <w:lvlText w:val="%3."/>
      <w:lvlJc w:val="end"/>
      <w:pPr>
        <w:ind w:start="108pt" w:hanging="9pt"/>
      </w:pPr>
    </w:lvl>
    <w:lvl w:ilvl="3" w:tplc="0409000F" w:tentative="1">
      <w:start w:val="1"/>
      <w:numFmt w:val="decimal"/>
      <w:lvlText w:val="%4."/>
      <w:lvlJc w:val="start"/>
      <w:pPr>
        <w:ind w:start="144pt" w:hanging="18pt"/>
      </w:pPr>
    </w:lvl>
    <w:lvl w:ilvl="4" w:tplc="04090019" w:tentative="1">
      <w:start w:val="1"/>
      <w:numFmt w:val="lowerLetter"/>
      <w:lvlText w:val="%5."/>
      <w:lvlJc w:val="start"/>
      <w:pPr>
        <w:ind w:start="180pt" w:hanging="18pt"/>
      </w:pPr>
    </w:lvl>
    <w:lvl w:ilvl="5" w:tplc="0409001B" w:tentative="1">
      <w:start w:val="1"/>
      <w:numFmt w:val="lowerRoman"/>
      <w:lvlText w:val="%6."/>
      <w:lvlJc w:val="end"/>
      <w:pPr>
        <w:ind w:start="216pt" w:hanging="9pt"/>
      </w:pPr>
    </w:lvl>
    <w:lvl w:ilvl="6" w:tplc="0409000F" w:tentative="1">
      <w:start w:val="1"/>
      <w:numFmt w:val="decimal"/>
      <w:lvlText w:val="%7."/>
      <w:lvlJc w:val="start"/>
      <w:pPr>
        <w:ind w:start="252pt" w:hanging="18pt"/>
      </w:pPr>
    </w:lvl>
    <w:lvl w:ilvl="7" w:tplc="04090019" w:tentative="1">
      <w:start w:val="1"/>
      <w:numFmt w:val="lowerLetter"/>
      <w:lvlText w:val="%8."/>
      <w:lvlJc w:val="start"/>
      <w:pPr>
        <w:ind w:start="288pt" w:hanging="18pt"/>
      </w:pPr>
    </w:lvl>
    <w:lvl w:ilvl="8" w:tplc="0409001B" w:tentative="1">
      <w:start w:val="1"/>
      <w:numFmt w:val="lowerRoman"/>
      <w:lvlText w:val="%9."/>
      <w:lvlJc w:val="end"/>
      <w:pPr>
        <w:ind w:start="324pt" w:hanging="9pt"/>
      </w:pPr>
    </w:lvl>
  </w:abstractNum>
  <w:abstractNum w:abstractNumId="18" w15:restartNumberingAfterBreak="0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start"/>
      <w:pPr>
        <w:tabs>
          <w:tab w:val="num" w:pos="18pt"/>
        </w:tabs>
        <w:ind w:start="18pt" w:hanging="18pt"/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abstractNum w:abstractNumId="19" w15:restartNumberingAfterBreak="0">
    <w:nsid w:val="6C402C58"/>
    <w:multiLevelType w:val="hybridMultilevel"/>
    <w:tmpl w:val="9A1CA078"/>
    <w:lvl w:ilvl="0" w:tplc="C8D6570A">
      <w:start w:val="1"/>
      <w:numFmt w:val="decimal"/>
      <w:pStyle w:val="figurecaption"/>
      <w:lvlText w:val="Fig. %1."/>
      <w:lvlJc w:val="start"/>
      <w:pPr>
        <w:ind w:start="18pt" w:hanging="18pt"/>
      </w:pPr>
      <w:rPr>
        <w:rFonts w:ascii="Times New Roman" w:hAnsi="Times New Roman" w:cs="Times New Roman" w:hint="default"/>
        <w:b w:val="0"/>
        <w:bCs w:val="0"/>
        <w:i w:val="0"/>
        <w:iCs w:val="0"/>
        <w:color w:val="auto"/>
        <w:sz w:val="16"/>
        <w:szCs w:val="16"/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20" w15:restartNumberingAfterBreak="0">
    <w:nsid w:val="6CD32DA8"/>
    <w:multiLevelType w:val="singleLevel"/>
    <w:tmpl w:val="166470C2"/>
    <w:lvl w:ilvl="0">
      <w:start w:val="1"/>
      <w:numFmt w:val="upperRoman"/>
      <w:pStyle w:val="tablehead"/>
      <w:lvlText w:val="TABLE %1. "/>
      <w:lvlJc w:val="start"/>
      <w:pPr>
        <w:tabs>
          <w:tab w:val="num" w:pos="54pt"/>
        </w:tabs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num w:numId="1" w16cid:durableId="940377641">
    <w:abstractNumId w:val="14"/>
  </w:num>
  <w:num w:numId="2" w16cid:durableId="1397439891">
    <w:abstractNumId w:val="19"/>
  </w:num>
  <w:num w:numId="3" w16cid:durableId="539585121">
    <w:abstractNumId w:val="13"/>
  </w:num>
  <w:num w:numId="4" w16cid:durableId="1505513160">
    <w:abstractNumId w:val="16"/>
  </w:num>
  <w:num w:numId="5" w16cid:durableId="978925957">
    <w:abstractNumId w:val="16"/>
  </w:num>
  <w:num w:numId="6" w16cid:durableId="1721400726">
    <w:abstractNumId w:val="16"/>
  </w:num>
  <w:num w:numId="7" w16cid:durableId="687826470">
    <w:abstractNumId w:val="16"/>
  </w:num>
  <w:num w:numId="8" w16cid:durableId="143812469">
    <w:abstractNumId w:val="18"/>
  </w:num>
  <w:num w:numId="9" w16cid:durableId="1364867722">
    <w:abstractNumId w:val="20"/>
  </w:num>
  <w:num w:numId="10" w16cid:durableId="2029989048">
    <w:abstractNumId w:val="15"/>
  </w:num>
  <w:num w:numId="11" w16cid:durableId="642739898">
    <w:abstractNumId w:val="12"/>
  </w:num>
  <w:num w:numId="12" w16cid:durableId="1272741182">
    <w:abstractNumId w:val="11"/>
  </w:num>
  <w:num w:numId="13" w16cid:durableId="851069540">
    <w:abstractNumId w:val="0"/>
  </w:num>
  <w:num w:numId="14" w16cid:durableId="529344390">
    <w:abstractNumId w:val="10"/>
  </w:num>
  <w:num w:numId="15" w16cid:durableId="894972538">
    <w:abstractNumId w:val="8"/>
  </w:num>
  <w:num w:numId="16" w16cid:durableId="1023093075">
    <w:abstractNumId w:val="7"/>
  </w:num>
  <w:num w:numId="17" w16cid:durableId="1951620780">
    <w:abstractNumId w:val="6"/>
  </w:num>
  <w:num w:numId="18" w16cid:durableId="1765606468">
    <w:abstractNumId w:val="5"/>
  </w:num>
  <w:num w:numId="19" w16cid:durableId="409623909">
    <w:abstractNumId w:val="9"/>
  </w:num>
  <w:num w:numId="20" w16cid:durableId="1936084648">
    <w:abstractNumId w:val="4"/>
  </w:num>
  <w:num w:numId="21" w16cid:durableId="146483437">
    <w:abstractNumId w:val="3"/>
  </w:num>
  <w:num w:numId="22" w16cid:durableId="1467505995">
    <w:abstractNumId w:val="2"/>
  </w:num>
  <w:num w:numId="23" w16cid:durableId="1408696933">
    <w:abstractNumId w:val="1"/>
  </w:num>
  <w:num w:numId="24" w16cid:durableId="1366640472">
    <w:abstractNumId w:val="17"/>
  </w:num>
  <w:num w:numId="25" w16cid:durableId="191728288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%"/>
  <w:embedSystemFonts/>
  <w:proofState w:spelling="clean" w:grammar="clean"/>
  <w:defaultTabStop w:val="36pt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03D9"/>
    <w:rsid w:val="0004781E"/>
    <w:rsid w:val="0008758A"/>
    <w:rsid w:val="000C1E68"/>
    <w:rsid w:val="0015079E"/>
    <w:rsid w:val="00156B74"/>
    <w:rsid w:val="001A2EFD"/>
    <w:rsid w:val="001A3B3D"/>
    <w:rsid w:val="001A42EA"/>
    <w:rsid w:val="001B67DC"/>
    <w:rsid w:val="001D7BCF"/>
    <w:rsid w:val="002254A9"/>
    <w:rsid w:val="00233D97"/>
    <w:rsid w:val="002850E3"/>
    <w:rsid w:val="00354FCF"/>
    <w:rsid w:val="003A19E2"/>
    <w:rsid w:val="00421EC6"/>
    <w:rsid w:val="004325FB"/>
    <w:rsid w:val="004432BA"/>
    <w:rsid w:val="0044407E"/>
    <w:rsid w:val="004D72B5"/>
    <w:rsid w:val="00547E73"/>
    <w:rsid w:val="00551B7F"/>
    <w:rsid w:val="0056610F"/>
    <w:rsid w:val="00575BCA"/>
    <w:rsid w:val="005B0344"/>
    <w:rsid w:val="005B520E"/>
    <w:rsid w:val="005E2800"/>
    <w:rsid w:val="006347CF"/>
    <w:rsid w:val="00645D22"/>
    <w:rsid w:val="00651A08"/>
    <w:rsid w:val="00654204"/>
    <w:rsid w:val="00670434"/>
    <w:rsid w:val="006B6B66"/>
    <w:rsid w:val="006F6D3D"/>
    <w:rsid w:val="00704134"/>
    <w:rsid w:val="00715BEA"/>
    <w:rsid w:val="00740EEA"/>
    <w:rsid w:val="00794804"/>
    <w:rsid w:val="007B33F1"/>
    <w:rsid w:val="007C0308"/>
    <w:rsid w:val="007C2FF2"/>
    <w:rsid w:val="007D6232"/>
    <w:rsid w:val="007F1F99"/>
    <w:rsid w:val="007F768F"/>
    <w:rsid w:val="0080791D"/>
    <w:rsid w:val="00873603"/>
    <w:rsid w:val="008A2C7D"/>
    <w:rsid w:val="008C4B23"/>
    <w:rsid w:val="008F6E2C"/>
    <w:rsid w:val="009303D9"/>
    <w:rsid w:val="00933C64"/>
    <w:rsid w:val="00972203"/>
    <w:rsid w:val="00A059B3"/>
    <w:rsid w:val="00A83751"/>
    <w:rsid w:val="00AE3409"/>
    <w:rsid w:val="00B11A60"/>
    <w:rsid w:val="00B22613"/>
    <w:rsid w:val="00BA1025"/>
    <w:rsid w:val="00BC3420"/>
    <w:rsid w:val="00BE7D3C"/>
    <w:rsid w:val="00BF5FF6"/>
    <w:rsid w:val="00C0207F"/>
    <w:rsid w:val="00C16117"/>
    <w:rsid w:val="00C3075A"/>
    <w:rsid w:val="00C76FFC"/>
    <w:rsid w:val="00C919A4"/>
    <w:rsid w:val="00CA4392"/>
    <w:rsid w:val="00CC393F"/>
    <w:rsid w:val="00D13749"/>
    <w:rsid w:val="00D2176E"/>
    <w:rsid w:val="00D632BE"/>
    <w:rsid w:val="00D72D06"/>
    <w:rsid w:val="00D7522C"/>
    <w:rsid w:val="00D7536F"/>
    <w:rsid w:val="00D76668"/>
    <w:rsid w:val="00E61E12"/>
    <w:rsid w:val="00E7596C"/>
    <w:rsid w:val="00E878F2"/>
    <w:rsid w:val="00ED0149"/>
    <w:rsid w:val="00EF7DE3"/>
    <w:rsid w:val="00F03103"/>
    <w:rsid w:val="00F12284"/>
    <w:rsid w:val="00F271DE"/>
    <w:rsid w:val="00F627DA"/>
    <w:rsid w:val="00F7288F"/>
    <w:rsid w:val="00F847A6"/>
    <w:rsid w:val="00F9441B"/>
    <w:rsid w:val="00F96569"/>
    <w:rsid w:val="00FA4C32"/>
    <w:rsid w:val="00FE7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0BB3EFF9"/>
  <w15:chartTrackingRefBased/>
  <w15:docId w15:val="{F70393F7-BE71-4745-A4B2-AE3F69CD35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jc w:val="center"/>
    </w:pPr>
  </w:style>
  <w:style w:type="paragraph" w:styleId="Heading1">
    <w:name w:val="heading 1"/>
    <w:basedOn w:val="Normal"/>
    <w:next w:val="Normal"/>
    <w:qFormat/>
    <w:rsid w:val="006B6B66"/>
    <w:pPr>
      <w:keepNext/>
      <w:keepLines/>
      <w:numPr>
        <w:numId w:val="4"/>
      </w:numPr>
      <w:tabs>
        <w:tab w:val="start" w:pos="10.80pt"/>
      </w:tabs>
      <w:spacing w:before="8pt" w:after="4pt"/>
      <w:ind w:firstLine="0pt"/>
      <w:outlineLvl w:val="0"/>
    </w:pPr>
    <w:rPr>
      <w:smallCaps/>
      <w:noProof/>
    </w:rPr>
  </w:style>
  <w:style w:type="paragraph" w:styleId="Heading2">
    <w:name w:val="heading 2"/>
    <w:basedOn w:val="Normal"/>
    <w:next w:val="Normal"/>
    <w:qFormat/>
    <w:rsid w:val="00ED0149"/>
    <w:pPr>
      <w:keepNext/>
      <w:keepLines/>
      <w:numPr>
        <w:ilvl w:val="1"/>
        <w:numId w:val="4"/>
      </w:numPr>
      <w:tabs>
        <w:tab w:val="clear" w:pos="18pt"/>
        <w:tab w:val="num" w:pos="14.40pt"/>
      </w:tabs>
      <w:spacing w:before="6pt" w:after="3pt"/>
      <w:jc w:val="start"/>
      <w:outlineLvl w:val="1"/>
    </w:pPr>
    <w:rPr>
      <w:i/>
      <w:iCs/>
      <w:noProof/>
    </w:rPr>
  </w:style>
  <w:style w:type="paragraph" w:styleId="Heading3">
    <w:name w:val="heading 3"/>
    <w:basedOn w:val="Normal"/>
    <w:next w:val="Normal"/>
    <w:qFormat/>
    <w:rsid w:val="00794804"/>
    <w:pPr>
      <w:numPr>
        <w:ilvl w:val="2"/>
        <w:numId w:val="4"/>
      </w:numPr>
      <w:spacing w:line="12pt" w:lineRule="exact"/>
      <w:ind w:firstLine="14.40pt"/>
      <w:jc w:val="both"/>
      <w:outlineLvl w:val="2"/>
    </w:pPr>
    <w:rPr>
      <w:i/>
      <w:iCs/>
      <w:noProof/>
    </w:rPr>
  </w:style>
  <w:style w:type="paragraph" w:styleId="Heading4">
    <w:name w:val="heading 4"/>
    <w:basedOn w:val="Normal"/>
    <w:next w:val="Normal"/>
    <w:qFormat/>
    <w:rsid w:val="00794804"/>
    <w:pPr>
      <w:numPr>
        <w:ilvl w:val="3"/>
        <w:numId w:val="4"/>
      </w:numPr>
      <w:tabs>
        <w:tab w:val="clear" w:pos="31.50pt"/>
        <w:tab w:val="start" w:pos="36pt"/>
      </w:tabs>
      <w:spacing w:before="2pt" w:after="2pt"/>
      <w:ind w:firstLine="25.20pt"/>
      <w:jc w:val="both"/>
      <w:outlineLvl w:val="3"/>
    </w:pPr>
    <w:rPr>
      <w:i/>
      <w:iCs/>
      <w:noProof/>
    </w:rPr>
  </w:style>
  <w:style w:type="paragraph" w:styleId="Heading5">
    <w:name w:val="heading 5"/>
    <w:basedOn w:val="Normal"/>
    <w:next w:val="Normal"/>
    <w:qFormat/>
    <w:pPr>
      <w:tabs>
        <w:tab w:val="start" w:pos="18pt"/>
      </w:tabs>
      <w:spacing w:before="8pt" w:after="4pt"/>
      <w:outlineLvl w:val="4"/>
    </w:pPr>
    <w:rPr>
      <w:smallCaps/>
      <w:noProof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bstract">
    <w:name w:val="Abstract"/>
    <w:rsid w:val="00972203"/>
    <w:pPr>
      <w:spacing w:after="10pt"/>
      <w:ind w:firstLine="13.60pt"/>
      <w:jc w:val="both"/>
    </w:pPr>
    <w:rPr>
      <w:b/>
      <w:bCs/>
      <w:sz w:val="18"/>
      <w:szCs w:val="18"/>
    </w:rPr>
  </w:style>
  <w:style w:type="paragraph" w:customStyle="1" w:styleId="Affiliation">
    <w:name w:val="Affiliation"/>
    <w:pPr>
      <w:jc w:val="center"/>
    </w:pPr>
  </w:style>
  <w:style w:type="paragraph" w:customStyle="1" w:styleId="Author">
    <w:name w:val="Author"/>
    <w:pPr>
      <w:spacing w:before="18pt" w:after="2pt"/>
      <w:jc w:val="center"/>
    </w:pPr>
    <w:rPr>
      <w:noProof/>
      <w:sz w:val="22"/>
      <w:szCs w:val="22"/>
    </w:rPr>
  </w:style>
  <w:style w:type="paragraph" w:styleId="BodyText">
    <w:name w:val="Body Text"/>
    <w:basedOn w:val="Normal"/>
    <w:link w:val="BodyTextChar"/>
    <w:rsid w:val="00E7596C"/>
    <w:pPr>
      <w:tabs>
        <w:tab w:val="start" w:pos="14.40pt"/>
      </w:tabs>
      <w:spacing w:after="6pt" w:line="11.40pt" w:lineRule="auto"/>
      <w:ind w:firstLine="14.40pt"/>
      <w:jc w:val="both"/>
    </w:pPr>
    <w:rPr>
      <w:spacing w:val="-1"/>
      <w:lang w:val="x-none" w:eastAsia="x-none"/>
    </w:rPr>
  </w:style>
  <w:style w:type="character" w:customStyle="1" w:styleId="BodyTextChar">
    <w:name w:val="Body Text Char"/>
    <w:link w:val="BodyText"/>
    <w:rsid w:val="00E7596C"/>
    <w:rPr>
      <w:spacing w:val="-1"/>
      <w:lang w:val="x-none" w:eastAsia="x-none"/>
    </w:rPr>
  </w:style>
  <w:style w:type="paragraph" w:customStyle="1" w:styleId="bulletlist">
    <w:name w:val="bullet list"/>
    <w:basedOn w:val="BodyText"/>
    <w:rsid w:val="001B67DC"/>
    <w:pPr>
      <w:numPr>
        <w:numId w:val="1"/>
      </w:numPr>
      <w:tabs>
        <w:tab w:val="clear" w:pos="32.40pt"/>
      </w:tabs>
      <w:ind w:start="28.80pt" w:hanging="14.40pt"/>
    </w:pPr>
  </w:style>
  <w:style w:type="paragraph" w:customStyle="1" w:styleId="equation">
    <w:name w:val="equation"/>
    <w:basedOn w:val="Normal"/>
    <w:rsid w:val="008A2C7D"/>
    <w:pPr>
      <w:tabs>
        <w:tab w:val="center" w:pos="126pt"/>
        <w:tab w:val="end" w:pos="252pt"/>
      </w:tabs>
      <w:spacing w:before="12pt" w:after="12pt" w:line="10.80pt" w:lineRule="auto"/>
    </w:pPr>
    <w:rPr>
      <w:rFonts w:ascii="Symbol" w:hAnsi="Symbol" w:cs="Symbol"/>
    </w:rPr>
  </w:style>
  <w:style w:type="paragraph" w:customStyle="1" w:styleId="figurecaption">
    <w:name w:val="figure caption"/>
    <w:rsid w:val="005B0344"/>
    <w:pPr>
      <w:numPr>
        <w:numId w:val="2"/>
      </w:numPr>
      <w:tabs>
        <w:tab w:val="start" w:pos="26.65pt"/>
      </w:tabs>
      <w:spacing w:before="4pt" w:after="10pt"/>
      <w:ind w:start="0pt" w:firstLine="0pt"/>
      <w:jc w:val="both"/>
    </w:pPr>
    <w:rPr>
      <w:noProof/>
      <w:sz w:val="16"/>
      <w:szCs w:val="16"/>
    </w:rPr>
  </w:style>
  <w:style w:type="paragraph" w:customStyle="1" w:styleId="footnote">
    <w:name w:val="footnote"/>
    <w:pPr>
      <w:framePr w:hSpace="9.35pt" w:vSpace="9.35pt" w:wrap="notBeside" w:vAnchor="text" w:hAnchor="page" w:x="306.05pt" w:y="28.85pt"/>
      <w:numPr>
        <w:numId w:val="3"/>
      </w:numPr>
      <w:spacing w:after="2pt"/>
    </w:pPr>
    <w:rPr>
      <w:sz w:val="16"/>
      <w:szCs w:val="16"/>
    </w:rPr>
  </w:style>
  <w:style w:type="paragraph" w:customStyle="1" w:styleId="papersubtitle">
    <w:name w:val="paper subtitle"/>
    <w:pPr>
      <w:spacing w:after="6pt"/>
      <w:jc w:val="center"/>
    </w:pPr>
    <w:rPr>
      <w:rFonts w:eastAsia="MS Mincho"/>
      <w:noProof/>
      <w:sz w:val="28"/>
      <w:szCs w:val="28"/>
    </w:rPr>
  </w:style>
  <w:style w:type="paragraph" w:customStyle="1" w:styleId="papertitle">
    <w:name w:val="paper title"/>
    <w:pPr>
      <w:spacing w:after="6pt"/>
      <w:jc w:val="center"/>
    </w:pPr>
    <w:rPr>
      <w:rFonts w:eastAsia="MS Mincho"/>
      <w:noProof/>
      <w:sz w:val="48"/>
      <w:szCs w:val="48"/>
    </w:rPr>
  </w:style>
  <w:style w:type="paragraph" w:customStyle="1" w:styleId="references">
    <w:name w:val="references"/>
    <w:pPr>
      <w:numPr>
        <w:numId w:val="8"/>
      </w:numPr>
      <w:spacing w:after="2.50pt" w:line="9pt" w:lineRule="exact"/>
      <w:jc w:val="both"/>
    </w:pPr>
    <w:rPr>
      <w:rFonts w:eastAsia="MS Mincho"/>
      <w:noProof/>
      <w:sz w:val="16"/>
      <w:szCs w:val="16"/>
    </w:rPr>
  </w:style>
  <w:style w:type="paragraph" w:customStyle="1" w:styleId="sponsors">
    <w:name w:val="sponsors"/>
    <w:pPr>
      <w:framePr w:wrap="auto" w:hAnchor="text" w:x="30.75pt" w:y="111.95pt"/>
      <w:pBdr>
        <w:top w:val="single" w:sz="4" w:space="2" w:color="auto"/>
      </w:pBdr>
      <w:ind w:firstLine="14.40pt"/>
    </w:pPr>
    <w:rPr>
      <w:sz w:val="16"/>
      <w:szCs w:val="16"/>
    </w:rPr>
  </w:style>
  <w:style w:type="paragraph" w:customStyle="1" w:styleId="tablecolhead">
    <w:name w:val="table col head"/>
    <w:basedOn w:val="Normal"/>
    <w:rPr>
      <w:b/>
      <w:bCs/>
      <w:sz w:val="16"/>
      <w:szCs w:val="16"/>
    </w:rPr>
  </w:style>
  <w:style w:type="paragraph" w:customStyle="1" w:styleId="tablecolsubhead">
    <w:name w:val="table col subhead"/>
    <w:basedOn w:val="tablecolhead"/>
    <w:rPr>
      <w:i/>
      <w:iCs/>
      <w:sz w:val="15"/>
      <w:szCs w:val="15"/>
    </w:rPr>
  </w:style>
  <w:style w:type="paragraph" w:customStyle="1" w:styleId="tablecopy">
    <w:name w:val="table copy"/>
    <w:pPr>
      <w:jc w:val="both"/>
    </w:pPr>
    <w:rPr>
      <w:noProof/>
      <w:sz w:val="16"/>
      <w:szCs w:val="16"/>
    </w:rPr>
  </w:style>
  <w:style w:type="paragraph" w:customStyle="1" w:styleId="tablefootnote">
    <w:name w:val="table footnote"/>
    <w:rsid w:val="005E2800"/>
    <w:pPr>
      <w:numPr>
        <w:numId w:val="24"/>
      </w:numPr>
      <w:spacing w:before="3pt" w:after="1.50pt"/>
      <w:ind w:start="2.90pt" w:hanging="1.45pt"/>
      <w:jc w:val="end"/>
    </w:pPr>
    <w:rPr>
      <w:sz w:val="12"/>
      <w:szCs w:val="12"/>
    </w:rPr>
  </w:style>
  <w:style w:type="paragraph" w:customStyle="1" w:styleId="tablehead">
    <w:name w:val="table head"/>
    <w:pPr>
      <w:numPr>
        <w:numId w:val="9"/>
      </w:numPr>
      <w:spacing w:before="12pt" w:after="6pt" w:line="10.80pt" w:lineRule="auto"/>
      <w:jc w:val="center"/>
    </w:pPr>
    <w:rPr>
      <w:smallCaps/>
      <w:noProof/>
      <w:sz w:val="16"/>
      <w:szCs w:val="16"/>
    </w:rPr>
  </w:style>
  <w:style w:type="paragraph" w:customStyle="1" w:styleId="Keywords">
    <w:name w:val="Keywords"/>
    <w:basedOn w:val="Abstract"/>
    <w:qFormat/>
    <w:rsid w:val="00F9441B"/>
    <w:pPr>
      <w:spacing w:after="6pt"/>
      <w:ind w:firstLine="13.70pt"/>
    </w:pPr>
    <w:rPr>
      <w:i/>
    </w:rPr>
  </w:style>
  <w:style w:type="paragraph" w:styleId="Header">
    <w:name w:val="header"/>
    <w:basedOn w:val="Normal"/>
    <w:link w:val="HeaderChar"/>
    <w:rsid w:val="001A3B3D"/>
    <w:pPr>
      <w:tabs>
        <w:tab w:val="center" w:pos="234pt"/>
        <w:tab w:val="end" w:pos="468pt"/>
      </w:tabs>
    </w:pPr>
  </w:style>
  <w:style w:type="character" w:customStyle="1" w:styleId="HeaderChar">
    <w:name w:val="Header Char"/>
    <w:basedOn w:val="DefaultParagraphFont"/>
    <w:link w:val="Header"/>
    <w:rsid w:val="001A3B3D"/>
  </w:style>
  <w:style w:type="paragraph" w:styleId="Footer">
    <w:name w:val="footer"/>
    <w:basedOn w:val="Normal"/>
    <w:link w:val="FooterChar"/>
    <w:rsid w:val="001A3B3D"/>
    <w:pPr>
      <w:tabs>
        <w:tab w:val="center" w:pos="234pt"/>
        <w:tab w:val="end" w:pos="468pt"/>
      </w:tabs>
    </w:pPr>
  </w:style>
  <w:style w:type="character" w:customStyle="1" w:styleId="FooterChar">
    <w:name w:val="Footer Char"/>
    <w:basedOn w:val="DefaultParagraphFont"/>
    <w:link w:val="Footer"/>
    <w:rsid w:val="001A3B3D"/>
  </w:style>
  <w:style w:type="character" w:styleId="Hyperlink">
    <w:name w:val="Hyperlink"/>
    <w:basedOn w:val="DefaultParagraphFont"/>
    <w:rsid w:val="00156B7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56B7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arxiv.org/abs/1312.6114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codeocean.com/capsule/4989235/tre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74953BD-B001-433D-BAEA-84E6680CEB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2275</Words>
  <Characters>12969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 Title (use style: paper title)</vt:lpstr>
    </vt:vector>
  </TitlesOfParts>
  <Company>IEEE</Company>
  <LinksUpToDate>false</LinksUpToDate>
  <CharactersWithSpaces>15214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Title (use style: paper title)</dc:title>
  <dc:subject/>
  <dc:creator>IEEE</dc:creator>
  <cp:keywords/>
  <cp:lastModifiedBy>Diana Romeo</cp:lastModifiedBy>
  <cp:revision>2</cp:revision>
  <dcterms:created xsi:type="dcterms:W3CDTF">2024-07-16T13:39:00Z</dcterms:created>
  <dcterms:modified xsi:type="dcterms:W3CDTF">2024-07-16T13:39:00Z</dcterms:modified>
</cp:coreProperties>
</file>