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777777" w:rsidR="009303D9" w:rsidRDefault="009303D9" w:rsidP="006347CF">
      <w:pPr>
        <w:pStyle w:val="papertitle"/>
        <w:spacing w:before="5pt" w:beforeAutospacing="1" w:after="5pt" w:afterAutospacing="1"/>
      </w:pPr>
      <w:r>
        <w:t>Text-Enhanced Credit Risk Assessment for P2P Lending: A Unified Comparison of Traditional Models and Two-Stage LLM</w:t>
      </w:r>
    </w:p>
    <w:p w14:paraId="517AC20D" w14:textId="1F2DD9DF" w:rsidR="00D7522C" w:rsidRDefault="00D7522C" w:rsidP="00156B74">
      <w:pPr>
        <w:pStyle w:val="Author"/>
        <w:spacing w:before="5pt" w:beforeAutospacing="1" w:after="5pt" w:afterAutospacing="1"/>
        <w:rPr>
          <w:sz w:val="16"/>
          <w:szCs w:val="16"/>
        </w:rPr>
      </w:pPr>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2" w:space="720"/>
          <w:docGrid w:linePitch="360"/>
        </w:sectPr>
      </w:pPr>
      <w:r>
        <w:t>Group Members: &lt;Member 1 / Student ID&gt;, &lt;Member 2 / Student ID&gt;, &lt;Member 3 / Student ID&gt;</w:t>
        <w:br/>
        <w:t>Course: 6800 Final Project</w:t>
        <w:br/>
        <w:t>Institution: &lt;Your University&gt;</w:t>
        <w:br/>
        <w:t>Date: February 21, 2026</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720" w:num="2"/>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2" w:space="720"/>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2" w:space="720"/>
          <w:docGrid w:linePitch="360"/>
        </w:sectPr>
      </w:pPr>
    </w:p>
    <w:p w14:paraId="267708E4" w14:textId="77777777" w:rsidR="004D72B5" w:rsidRDefault="009303D9" w:rsidP="00972203">
      <w:pPr>
        <w:pStyle w:val="Abstract"/>
        <w:rPr>
          <w:i/>
          <w:iCs/>
        </w:rPr>
      </w:pPr>
      <w:r>
        <w:t>Abstract?This report studies whether loan-description text can improve credit default screening under business constraints. Using LendingClub data, we compare traditional machine-learning baselines and a two-stage LLM pipeline under a unified setup: the same filtered subset, the same stratified split, and the same target reject rate (35%). From 2,260,701 raw records, we obtain 123,202 cleaned records and a shared high-risk subset of 7,108 loans (train=4,548, validation=1,138, test=1,422). At fixed reject-rate evaluation, logistic_tabular achieves Precision@RR=0.4154 and Recall@RR=0.4538, while the two-stage LLM reaches 0.3653 and 0.3675. The findings indicate that structured models remain stronger as primary decision engines in this setting, and LLMs are currently more suitable as explanation and review-support layers.</w:t>
      </w:r>
    </w:p>
    <w:p w14:paraId="3F9CDE0E" w14:textId="77777777" w:rsidR="009303D9" w:rsidRPr="004D72B5" w:rsidRDefault="004D72B5" w:rsidP="00972203">
      <w:pPr>
        <w:pStyle w:val="Keywords"/>
      </w:pPr>
      <w:r>
        <w:t>Keywords?credit risk, peer-to-peer lending, soft information, loan description text, large language model, reject-rate control</w:t>
      </w:r>
    </w:p>
    <w:p>
      <w:pPr>
        <w:pStyle w:val="Heading1"/>
      </w:pPr>
      <w:r>
        <w:t>I. INTRODUCTION</w:t>
      </w:r>
    </w:p>
    <w:p>
      <w:pPr>
        <w:pStyle w:val="BodyText"/>
      </w:pPr>
      <w:r>
        <w:t>Credit risk assessment is central to lending decisions. In P2P lending, structured variables such as interest rate, grade, and income provide strong predictive signals, but they do not fully capture borrower heterogeneity [1], [2]. Prior work also shows that market participants use soft information during screening, motivating text-based risk modeling [3].</w:t>
      </w:r>
    </w:p>
    <w:p>
      <w:pPr>
        <w:pStyle w:val="BodyText"/>
      </w:pPr>
      <w:r>
        <w:t>This project asks whether LLM-based text understanding can improve default identification under a practical business constraint: fixed reject-rate operation. Our goal is decision support rather than replacing human review.</w:t>
      </w:r>
    </w:p>
    <w:p>
      <w:pPr>
        <w:pStyle w:val="Heading1"/>
      </w:pPr>
      <w:r>
        <w:t>II. TOPIC DESCRIPTION AND SCOPE</w:t>
      </w:r>
    </w:p>
    <w:p>
      <w:pPr>
        <w:pStyle w:val="BodyText"/>
      </w:pPr>
      <w:r>
        <w:t>Focus: this review centers on the incremental value of borrower description text (desc) for default prediction. The key question is when text-derived soft information can provide measurable gains beyond structured risk features [3]-[7].</w:t>
      </w:r>
    </w:p>
    <w:p>
      <w:pPr>
        <w:pStyle w:val="BodyText"/>
      </w:pPr>
      <w:r>
        <w:t>Out-of-scope topics are listed to keep the survey coherent:</w:t>
      </w:r>
    </w:p>
    <w:p>
      <w:pPr>
        <w:pStyle w:val="bulletlist"/>
      </w:pPr>
      <w:r>
        <w:t>Fraud and identity-risk detection (different target from default-risk classification).</w:t>
      </w:r>
    </w:p>
    <w:p>
      <w:pPr>
        <w:pStyle w:val="bulletlist"/>
      </w:pPr>
      <w:r>
        <w:t>Post-loan collection strategy optimization and intervention design.</w:t>
      </w:r>
    </w:p>
    <w:p>
      <w:pPr>
        <w:pStyle w:val="bulletlist"/>
      </w:pPr>
      <w:r>
        <w:t>Macro stress-testing and loan pricing joint models.</w:t>
      </w:r>
    </w:p>
    <w:p>
      <w:pPr>
        <w:pStyle w:val="bulletlist"/>
      </w:pPr>
      <w:r>
        <w:t>Multimodal risk pipelines (images, device fingerprints, social graph signals).</w:t>
      </w:r>
    </w:p>
    <w:p>
      <w:pPr>
        <w:pStyle w:val="Heading1"/>
      </w:pPr>
      <w:r>
        <w:t>III. LITERATURE REVIEW</w:t>
      </w:r>
    </w:p>
    <w:p>
      <w:pPr>
        <w:pStyle w:val="Heading2"/>
      </w:pPr>
      <w:r>
        <w:t>A. Foundational P2P credit-risk studies</w:t>
      </w:r>
    </w:p>
    <w:p>
      <w:pPr>
        <w:pStyle w:val="BodyText"/>
      </w:pPr>
      <w:r>
        <w:t>Early P2P studies established the predictive relevance of structured borrower attributes [1], [2]. Iyer et al. emphasized that soft signals are also used in marketplace screening [3], which motivated later text-oriented work.</w:t>
      </w:r>
    </w:p>
    <w:p>
      <w:pPr>
        <w:pStyle w:val="Heading2"/>
      </w:pPr>
      <w:r>
        <w:t>B. From text availability to measurable gains</w:t>
      </w:r>
    </w:p>
    <w:p>
      <w:pPr>
        <w:pStyle w:val="BodyText"/>
      </w:pPr>
      <w:r>
        <w:t>Dorfleitner et al. showed that description-related soft information is informative [4]. Subsequent studies combined semantic text features with tabular variables and reported improved default prediction [5], [6]. This line of work moved the field from qualitative claims to quantitative gains.</w:t>
      </w:r>
    </w:p>
    <w:p>
      <w:pPr>
        <w:pStyle w:val="Heading2"/>
      </w:pPr>
      <w:r>
        <w:t>C. Deep-text models and remaining gaps</w:t>
      </w:r>
    </w:p>
    <w:p>
      <w:pPr>
        <w:pStyle w:val="BodyText"/>
      </w:pPr>
      <w:r>
        <w:t>Deep learning methods improved contextual modeling of user-generated text and further strengthened performance [7]. However, robust deployment still requires stable thresholding, calibration, and business-compatible operating points. Traditional credit-scoring baselines remain competitive in reproducibility and operational stability [8]-[11].</w:t>
      </w:r>
    </w:p>
    <w:p>
      <w:pPr>
        <w:pStyle w:val="Heading2"/>
      </w:pPr>
      <w:r>
        <w:t>D. Positioning LLMs in credit workflows</w:t>
      </w:r>
    </w:p>
    <w:p>
      <w:pPr>
        <w:pStyle w:val="BodyText"/>
      </w:pPr>
      <w:r>
        <w:t>Transformer and BERT improved representation learning [12], [13]. LoRA reduced adaptation cost for large models [14], and GPT-4 demonstrated strong general language capabilities [15]. Yet whether LLMs can consistently outperform structured baselines at fixed reject rates remains an open empirical question.</w:t>
      </w:r>
    </w:p>
    <w:p>
      <w:pPr>
        <w:pStyle w:val="Heading1"/>
      </w:pPr>
      <w:r>
        <w:t>IV. METHODS AND EXPERIMENT SETUP</w:t>
      </w:r>
    </w:p>
    <w:p>
      <w:pPr>
        <w:pStyle w:val="Heading2"/>
      </w:pPr>
      <w:r>
        <w:t>A. Dataset and task definition</w:t>
      </w:r>
    </w:p>
    <w:p>
      <w:pPr>
        <w:pStyle w:val="BodyText"/>
      </w:pPr>
      <w:r>
        <w:t>Data source: LendingClub public loan data [16]. We use accepted_2007_to_2018Q4.csv and keep only completed loans (Fully Paid and Charged Off), obtaining 123,202 cleaned records. Target label: Charged Off=1, Fully Paid=0. For controlled comparison, we use a shared high-risk subset (grade in {E,F,G}, int_rate&gt;=18.5, annual_inc&lt;=92,500), resulting in 7,108 loans.</w:t>
      </w:r>
    </w:p>
    <w:p>
      <w:pPr>
        <w:pStyle w:val="BodyText"/>
      </w:pPr>
      <w:r>
        <w:t>Split protocol: stratified split with train_fit=4,548, validation=1,138, test=1,422. All methods use exactly the same split files and thresholding policy.</w:t>
      </w:r>
    </w:p>
    <w:p>
      <w:pPr>
        <w:pStyle w:val="Heading2"/>
      </w:pPr>
      <w:r>
        <w:t>B. Implemented methods</w:t>
      </w:r>
    </w:p>
    <w:p>
      <w:pPr>
        <w:pStyle w:val="BodyText"/>
      </w:pPr>
      <w:r>
        <w:t>Baselines: logistic_tabular, logistic_text_fusion (tabular + TF-IDF desc_clean), and xgboost_tabular [11]. LLM approach: two-stage pipeline with Qwen3-0.6B + LoRA [14], where Stage-1 generates reason text and Stage-2 predicts approve/reject from input plus reason.</w:t>
      </w:r>
    </w:p>
    <w:p>
      <w:pPr>
        <w:pStyle w:val="Heading2"/>
      </w:pPr>
      <w:r>
        <w:t>C. Evaluation metrics (all explicitly defined)</w:t>
      </w:r>
    </w:p>
    <w:p>
      <w:pPr>
        <w:pStyle w:val="BodyText"/>
      </w:pPr>
      <w:r>
        <w:t>At target reject rate RR_target=0.35, with reject treated as positive class:</w:t>
      </w:r>
    </w:p>
    <w:p>
      <w:pPr>
        <w:pStyle w:val="bulletlist"/>
      </w:pPr>
      <w:r>
        <w:t>Precision@RR = TP / (TP + FP)</w:t>
      </w:r>
    </w:p>
    <w:p>
      <w:pPr>
        <w:pStyle w:val="bulletlist"/>
      </w:pPr>
      <w:r>
        <w:t>Recall@RR = TP / (TP + FN)</w:t>
      </w:r>
    </w:p>
    <w:p>
      <w:pPr>
        <w:pStyle w:val="bulletlist"/>
      </w:pPr>
      <w:r>
        <w:t>Approval Bad Rate = FN / (TN + FN)</w:t>
      </w:r>
    </w:p>
    <w:p>
      <w:pPr>
        <w:pStyle w:val="bulletlist"/>
      </w:pPr>
      <w:r>
        <w:t>Lift@RR = Precision@RR / RR_target</w:t>
      </w:r>
    </w:p>
    <w:p>
      <w:pPr>
        <w:pStyle w:val="BodyText"/>
      </w:pPr>
      <w:r>
        <w:t>Thresholds are tuned on validation to match reject-rate target and then transferred to test, ensuring fair comparison across methods.</w:t>
      </w:r>
    </w:p>
    <w:p>
      <w:pPr>
        <w:pStyle w:val="Heading1"/>
      </w:pPr>
      <w:r>
        <w:t>V. EXPERIMENTAL RESULTS</w:t>
      </w:r>
    </w:p>
    <w:p>
      <w:pPr>
        <w:pStyle w:val="BodyText"/>
      </w:pPr>
      <w:r>
        <w:t>Table I summarizes the main test-set performance under the unified 35% reject-rate protocol.</w:t>
      </w:r>
    </w:p>
    <w:p>
      <w:pPr>
        <w:pStyle w:val="tablehead"/>
      </w:pPr>
      <w:r>
        <w:t>Table I. Unified Test-Set Results at Target Reject Rate = 35%</w:t>
      </w:r>
    </w:p>
    <w:tbl>
      <w:tblPr>
        <w:tblW w:type="auto" w:w="0"/>
        <w:tblLook w:firstColumn="1" w:firstRow="1" w:lastColumn="0" w:lastRow="0" w:noHBand="0" w:noVBand="1" w:val="04A0"/>
      </w:tblPr>
      <w:tblGrid>
        <w:gridCol w:w="1742"/>
        <w:gridCol w:w="1742"/>
        <w:gridCol w:w="1742"/>
        <w:gridCol w:w="1742"/>
        <w:gridCol w:w="1742"/>
        <w:gridCol w:w="1742"/>
      </w:tblGrid>
      <w:tr>
        <w:tc>
          <w:tcPr>
            <w:tcW w:type="dxa" w:w="1742"/>
          </w:tcPr>
          <w:p>
            <w:r>
              <w:t>Model</w:t>
            </w:r>
          </w:p>
        </w:tc>
        <w:tc>
          <w:tcPr>
            <w:tcW w:type="dxa" w:w="1742"/>
          </w:tcPr>
          <w:p>
            <w:r>
              <w:t>Precision@RR</w:t>
            </w:r>
          </w:p>
        </w:tc>
        <w:tc>
          <w:tcPr>
            <w:tcW w:type="dxa" w:w="1742"/>
          </w:tcPr>
          <w:p>
            <w:r>
              <w:t>Recall@RR</w:t>
            </w:r>
          </w:p>
        </w:tc>
        <w:tc>
          <w:tcPr>
            <w:tcW w:type="dxa" w:w="1742"/>
          </w:tcPr>
          <w:p>
            <w:r>
              <w:t>Approval Bad Rate</w:t>
            </w:r>
          </w:p>
        </w:tc>
        <w:tc>
          <w:tcPr>
            <w:tcW w:type="dxa" w:w="1742"/>
          </w:tcPr>
          <w:p>
            <w:r>
              <w:t>Lift@RR</w:t>
            </w:r>
          </w:p>
        </w:tc>
        <w:tc>
          <w:tcPr>
            <w:tcW w:type="dxa" w:w="1742"/>
          </w:tcPr>
          <w:p>
            <w:r>
              <w:t>Actual Reject Rate</w:t>
            </w:r>
          </w:p>
        </w:tc>
      </w:tr>
      <w:tr>
        <w:tc>
          <w:tcPr>
            <w:tcW w:type="dxa" w:w="1742"/>
          </w:tcPr>
          <w:p>
            <w:r>
              <w:t>DataAnalysis</w:t>
            </w:r>
          </w:p>
        </w:tc>
        <w:tc>
          <w:tcPr>
            <w:tcW w:type="dxa" w:w="1742"/>
          </w:tcPr>
          <w:p>
            <w:r>
              <w:t>0.4175</w:t>
            </w:r>
          </w:p>
        </w:tc>
        <w:tc>
          <w:tcPr>
            <w:tcW w:type="dxa" w:w="1742"/>
          </w:tcPr>
          <w:p>
            <w:r>
              <w:t>0.4317</w:t>
            </w:r>
          </w:p>
        </w:tc>
        <w:tc>
          <w:tcPr>
            <w:tcW w:type="dxa" w:w="1742"/>
          </w:tcPr>
          <w:p>
            <w:r>
              <w:t>0.3120</w:t>
            </w:r>
          </w:p>
        </w:tc>
        <w:tc>
          <w:tcPr>
            <w:tcW w:type="dxa" w:w="1742"/>
          </w:tcPr>
          <w:p>
            <w:r>
              <w:t>1.1928</w:t>
            </w:r>
          </w:p>
        </w:tc>
        <w:tc>
          <w:tcPr>
            <w:tcW w:type="dxa" w:w="1742"/>
          </w:tcPr>
          <w:p>
            <w:r>
              <w:t>0.3622</w:t>
            </w:r>
          </w:p>
        </w:tc>
      </w:tr>
      <w:tr>
        <w:tc>
          <w:tcPr>
            <w:tcW w:type="dxa" w:w="1742"/>
          </w:tcPr>
          <w:p>
            <w:r>
              <w:t>ML: logistic_tabular</w:t>
            </w:r>
          </w:p>
        </w:tc>
        <w:tc>
          <w:tcPr>
            <w:tcW w:type="dxa" w:w="1742"/>
          </w:tcPr>
          <w:p>
            <w:r>
              <w:t>0.4154</w:t>
            </w:r>
          </w:p>
        </w:tc>
        <w:tc>
          <w:tcPr>
            <w:tcW w:type="dxa" w:w="1742"/>
          </w:tcPr>
          <w:p>
            <w:r>
              <w:t>0.4538</w:t>
            </w:r>
          </w:p>
        </w:tc>
        <w:tc>
          <w:tcPr>
            <w:tcW w:type="dxa" w:w="1742"/>
          </w:tcPr>
          <w:p>
            <w:r>
              <w:t>0.3098</w:t>
            </w:r>
          </w:p>
        </w:tc>
        <w:tc>
          <w:tcPr>
            <w:tcW w:type="dxa" w:w="1742"/>
          </w:tcPr>
          <w:p>
            <w:r>
              <w:t>1.1870</w:t>
            </w:r>
          </w:p>
        </w:tc>
        <w:tc>
          <w:tcPr>
            <w:tcW w:type="dxa" w:w="1742"/>
          </w:tcPr>
          <w:p>
            <w:r>
              <w:t>0.3826</w:t>
            </w:r>
          </w:p>
        </w:tc>
      </w:tr>
      <w:tr>
        <w:tc>
          <w:tcPr>
            <w:tcW w:type="dxa" w:w="1742"/>
          </w:tcPr>
          <w:p>
            <w:r>
              <w:t>BERT-Embedding</w:t>
            </w:r>
          </w:p>
        </w:tc>
        <w:tc>
          <w:tcPr>
            <w:tcW w:type="dxa" w:w="1742"/>
          </w:tcPr>
          <w:p>
            <w:r>
              <w:t>0.3859</w:t>
            </w:r>
          </w:p>
        </w:tc>
        <w:tc>
          <w:tcPr>
            <w:tcW w:type="dxa" w:w="1742"/>
          </w:tcPr>
          <w:p>
            <w:r>
              <w:t>0.4177</w:t>
            </w:r>
          </w:p>
        </w:tc>
        <w:tc>
          <w:tcPr>
            <w:tcW w:type="dxa" w:w="1742"/>
          </w:tcPr>
          <w:p>
            <w:r>
              <w:t>0.3284</w:t>
            </w:r>
          </w:p>
        </w:tc>
        <w:tc>
          <w:tcPr>
            <w:tcW w:type="dxa" w:w="1742"/>
          </w:tcPr>
          <w:p>
            <w:r>
              <w:t>1.1026</w:t>
            </w:r>
          </w:p>
        </w:tc>
        <w:tc>
          <w:tcPr>
            <w:tcW w:type="dxa" w:w="1742"/>
          </w:tcPr>
          <w:p>
            <w:r>
              <w:t>0.3790</w:t>
            </w:r>
          </w:p>
        </w:tc>
      </w:tr>
      <w:tr>
        <w:tc>
          <w:tcPr>
            <w:tcW w:type="dxa" w:w="1742"/>
          </w:tcPr>
          <w:p>
            <w:r>
              <w:t>BERT-Finetune</w:t>
            </w:r>
          </w:p>
        </w:tc>
        <w:tc>
          <w:tcPr>
            <w:tcW w:type="dxa" w:w="1742"/>
          </w:tcPr>
          <w:p>
            <w:r>
              <w:t>0.3895</w:t>
            </w:r>
          </w:p>
        </w:tc>
        <w:tc>
          <w:tcPr>
            <w:tcW w:type="dxa" w:w="1742"/>
          </w:tcPr>
          <w:p>
            <w:r>
              <w:t>0.4317</w:t>
            </w:r>
          </w:p>
        </w:tc>
        <w:tc>
          <w:tcPr>
            <w:tcW w:type="dxa" w:w="1742"/>
          </w:tcPr>
          <w:p>
            <w:r>
              <w:t>0.3253</w:t>
            </w:r>
          </w:p>
        </w:tc>
        <w:tc>
          <w:tcPr>
            <w:tcW w:type="dxa" w:w="1742"/>
          </w:tcPr>
          <w:p>
            <w:r>
              <w:t>1.1128</w:t>
            </w:r>
          </w:p>
        </w:tc>
        <w:tc>
          <w:tcPr>
            <w:tcW w:type="dxa" w:w="1742"/>
          </w:tcPr>
          <w:p>
            <w:r>
              <w:t>0.3882</w:t>
            </w:r>
          </w:p>
        </w:tc>
      </w:tr>
      <w:tr>
        <w:tc>
          <w:tcPr>
            <w:tcW w:type="dxa" w:w="1742"/>
          </w:tcPr>
          <w:p>
            <w:r>
              <w:t>LLM Two-Stage (Qwen3-0.6B)</w:t>
            </w:r>
          </w:p>
        </w:tc>
        <w:tc>
          <w:tcPr>
            <w:tcW w:type="dxa" w:w="1742"/>
          </w:tcPr>
          <w:p>
            <w:r>
              <w:t>0.3653</w:t>
            </w:r>
          </w:p>
        </w:tc>
        <w:tc>
          <w:tcPr>
            <w:tcW w:type="dxa" w:w="1742"/>
          </w:tcPr>
          <w:p>
            <w:r>
              <w:t>0.3675</w:t>
            </w:r>
          </w:p>
        </w:tc>
        <w:tc>
          <w:tcPr>
            <w:tcW w:type="dxa" w:w="1742"/>
          </w:tcPr>
          <w:p>
            <w:r>
              <w:t>0.3420</w:t>
            </w:r>
          </w:p>
        </w:tc>
        <w:tc>
          <w:tcPr>
            <w:tcW w:type="dxa" w:w="1742"/>
          </w:tcPr>
          <w:p>
            <w:r>
              <w:t>1.0436</w:t>
            </w:r>
          </w:p>
        </w:tc>
        <w:tc>
          <w:tcPr>
            <w:tcW w:type="dxa" w:w="1742"/>
          </w:tcPr>
          <w:p>
            <w:r>
              <w:t>0.3523</w:t>
            </w:r>
          </w:p>
        </w:tc>
      </w:tr>
    </w:tbl>
    <w:p>
      <w:pPr>
        <w:pStyle w:val="BodyText"/>
      </w:pPr>
      <w:r>
        <w:t>Interpretation: logistic_tabular and DataAnalysis remain strongest. The two-stage LLM reaches the target operating reject-rate after recalibration, but trails in both precision and recall, and yields a higher approval bad rate than tabular baselines.</w:t>
      </w:r>
    </w:p>
    <w:p>
      <w:pPr>
        <w:pStyle w:val="BodyText"/>
      </w:pPr>
      <w:r>
        <w:t>External GPT-5.2 supplementary run reports Precision=0.3634, Recall=0.3811, Reject Rate=0.3504 on 919 samples. Because the sample size differs from the main 1,422-test split, this result is treated as supplementary only.</w:t>
      </w:r>
    </w:p>
    <w:p>
      <w:pPr>
        <w:pStyle w:val="Heading1"/>
      </w:pPr>
      <w:r>
        <w:t>VI. DISCUSSION AND ANALYSIS</w:t>
      </w:r>
    </w:p>
    <w:p>
      <w:pPr>
        <w:pStyle w:val="BodyText"/>
      </w:pPr>
      <w:r>
        <w:t>Why LLM underperforms in this setup: (1) high-risk prefiltering concentrates strong tabular signals; (2) Stage-1 supervision reasons come from rule-based teacher patterns and may not capture full soft-information diversity; (3) Stage-2 binary token logprob decision is restrictive; (4) model scale (0.6B) and training size limit boundary fitting for complex credit risk.</w:t>
      </w:r>
    </w:p>
    <w:p>
      <w:pPr>
        <w:pStyle w:val="BodyText"/>
      </w:pPr>
      <w:r>
        <w:t>Promising direction: combined architecture. Use calibrated structured models as primary risk engine, and use LLMs for explanation generation, case summarization, and reviewer assistance. This aligns with current practical constraints on stability, interpretability, and governance.</w:t>
      </w:r>
    </w:p>
    <w:p>
      <w:pPr>
        <w:pStyle w:val="Heading1"/>
      </w:pPr>
      <w:r>
        <w:t>VII. CONCLUSION</w:t>
      </w:r>
    </w:p>
    <w:p>
      <w:pPr>
        <w:pStyle w:val="BodyText"/>
      </w:pPr>
      <w:r>
        <w:t>Under unified data, split, and fixed reject-rate evaluation, traditional structured models remain the best primary predictors in our experiments. Two-stage LLMs currently add more value as explanation-support modules than as standalone risk decision engines. Future work should test larger students, richer supervision, and stronger calibration under the same business operating constraints.</w:t>
      </w:r>
    </w:p>
    <w:p>
      <w:pPr>
        <w:pStyle w:val="Heading5"/>
      </w:pPr>
      <w:r>
        <w:t>References</w:t>
      </w:r>
    </w:p>
    <w:p>
      <w:pPr>
        <w:pStyle w:val="references"/>
      </w:pPr>
      <w:r>
        <w:t>[1] C. Serrano-Cinca, B. Guti?rrez-Nieto, and L. L?pez-Palacios, ?Determinants of Default in P2P Lending,? PLOS ONE, vol. 10, no. 10, p. e0139427, 2015, doi: 10.1371/journal.pone.0139427.</w:t>
      </w:r>
    </w:p>
    <w:p>
      <w:pPr>
        <w:pStyle w:val="references"/>
      </w:pPr>
      <w:r>
        <w:t>[2] R. Emekter, Y. Tu, B. Jirasakuldech, and M. Lu, ?Evaluating credit risk and loan performance in online Peer-to-Peer (P2P) lending,? Applied Economics, vol. 47, no. 1, pp. 54-70, 2015, doi: 10.1080/00036846.2014.962222.</w:t>
      </w:r>
    </w:p>
    <w:p>
      <w:pPr>
        <w:pStyle w:val="references"/>
      </w:pPr>
      <w:r>
        <w:t>[3] R. Iyer, A. I. Khwaja, E. F. P. Luttmer, and K. Shue, ?Screening Peers Softly: Inferring the Quality of Small Borrowers,? Management Science, vol. 62, no. 6, pp. 1554-1577, 2016, doi: 10.1287/mnsc.2015.2181.</w:t>
      </w:r>
    </w:p>
    <w:p>
      <w:pPr>
        <w:pStyle w:val="references"/>
      </w:pPr>
      <w:r>
        <w:t>[4] G. Dorfleitner, C. Priberny, S. Schuster, J. Stoiber, M. Weber, I. de Castro, and J. Kammler, ?Description-text related soft information in peer-to-peer lending - Evidence from two leading European platforms,? Journal of Banking &amp; Finance, vol. 64, pp. 169-187, 2016, doi: 10.1016/j.jbankfin.2015.11.009.</w:t>
      </w:r>
    </w:p>
    <w:p>
      <w:pPr>
        <w:pStyle w:val="references"/>
      </w:pPr>
      <w:r>
        <w:t>[5] C. Jiang, Z. Wang, R. Wang, and Y. Ding, ?Loan default prediction by combining soft information extracted from descriptive text in online peer-to-peer lending,? Annals of Operations Research, vol. 266, no. 1-2, pp. 511-529, 2018, doi: 10.1007/s10479-017-2668-z.</w:t>
      </w:r>
    </w:p>
    <w:p>
      <w:pPr>
        <w:pStyle w:val="references"/>
      </w:pPr>
      <w:r>
        <w:t>[6] Y. Xia, L. He, Y. Li, N. Liu, and Y. Ding, ?Predicting loan default in peer-to-peer lending using narrative data,? Journal of Forecasting, vol. 39, no. 2, pp. 260-280, 2020, doi: 10.1002/for.2625.</w:t>
      </w:r>
    </w:p>
    <w:p>
      <w:pPr>
        <w:pStyle w:val="references"/>
      </w:pPr>
      <w:r>
        <w:t>[7] J. Kriebel and L. Stitz, ?Credit default prediction from user-generated text in peer-to-peer lending using deep learning,? European Journal of Operational Research, vol. 302, no. 1, pp. 309-323, 2022, doi: 10.1016/j.ejor.2021.12.024.</w:t>
      </w:r>
    </w:p>
    <w:p>
      <w:pPr>
        <w:pStyle w:val="references"/>
      </w:pPr>
      <w:r>
        <w:t>[8] S. Lessmann, B. Baesens, H.-V. Seow, and L. C. Thomas, ?Benchmarking state-of-the-art classification algorithms for credit scoring: An update of research,? European Journal of Operational Research, vol. 247, no. 1, pp. 124-136, 2015, doi: 10.1016/j.ejor.2015.05.030.</w:t>
      </w:r>
    </w:p>
    <w:p>
      <w:pPr>
        <w:pStyle w:val="references"/>
      </w:pPr>
      <w:r>
        <w:t>[9] A. E. Khandani, A. J. Kim, and A. W. Lo, ?Consumer credit-risk models via machine-learning algorithms,? Journal of Banking &amp; Finance, vol. 34, no. 11, pp. 2767-2787, 2010, doi: 10.1016/j.jbankfin.2010.06.001.</w:t>
      </w:r>
    </w:p>
    <w:p>
      <w:pPr>
        <w:pStyle w:val="references"/>
      </w:pPr>
      <w:r>
        <w:t>[10] M. Malekipirbazari and V. Aksakalli, ?Risk assessment in social lending via random forests,? Expert Systems with Applications, vol. 42, no. 10, pp. 4621-4631, 2015, doi: 10.1016/j.eswa.2015.02.001.</w:t>
      </w:r>
    </w:p>
    <w:p>
      <w:pPr>
        <w:pStyle w:val="references"/>
      </w:pPr>
      <w:r>
        <w:t>[11] T. Chen and C. Guestrin, ?XGBoost: A Scalable Tree Boosting System,? in Proc. 22nd ACM SIGKDD Int. Conf. Knowledge Discovery and Data Mining, 2016, pp. 785-794, doi: 10.1145/2939672.2939785.</w:t>
      </w:r>
    </w:p>
    <w:p>
      <w:pPr>
        <w:pStyle w:val="references"/>
      </w:pPr>
      <w:r>
        <w:t>[12] A. Vaswani et al., ?Attention Is All You Need,? in Advances in Neural Information Processing Systems 30, 2017, doi: 10.48550/arXiv.1706.03762.</w:t>
      </w:r>
    </w:p>
    <w:p>
      <w:pPr>
        <w:pStyle w:val="references"/>
      </w:pPr>
      <w:r>
        <w:t>[13] J. Devlin, M.-W. Chang, K. Lee, and K. Toutanova, ?BERT: Pre-training of Deep Bidirectional Transformers for Language Understanding,? in Proc. NAACL-HLT, 2019, pp. 4171-4186, doi: 10.18653/v1/N19-1423.</w:t>
      </w:r>
    </w:p>
    <w:p>
      <w:pPr>
        <w:pStyle w:val="references"/>
      </w:pPr>
      <w:r>
        <w:t>[14] E. J. Hu et al., ?LoRA: Low-Rank Adaptation of Large Language Models,? arXiv:2106.09685, 2021, doi: 10.48550/arXiv.2106.09685.</w:t>
      </w:r>
    </w:p>
    <w:p>
      <w:pPr>
        <w:pStyle w:val="references"/>
      </w:pPr>
      <w:r>
        <w:t>[15] OpenAI et al., ?GPT-4 Technical Report,? arXiv:2303.08774, 2023, doi: 10.48550/arXiv.2303.08774.</w:t>
      </w:r>
    </w:p>
    <w:p>
      <w:pPr>
        <w:pStyle w:val="references"/>
      </w:pPr>
      <w:r>
        <w:t>[16] LendingClub, ?LendingClub Statistics and Loan Data,? [Online]. Available: https://www.lendingclub.com/info/download-data.action (archived: https://web.archive.org/web/20110816083005/https://www.lendingclub.com/info/download-data.action). [Accessed: Feb. 21, 2026].</w:t>
      </w:r>
    </w:p>
    <w:sectPr w:rsidR="009303D9" w:rsidRPr="00F96569">
      <w:type w:val="continuous"/>
      <w:pgSz w:w="612pt" w:h="792pt" w:code="1"/>
      <w:pgMar w:top="54pt" w:right="44.65pt" w:bottom="72pt" w:left="44.65pt" w:header="36pt" w:footer="36pt" w:gutter="0pt"/>
      <w:cols w:space="72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