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595959"/>
          <w:sz w:val="26"/>
          <w:szCs w:val="26"/>
        </w:rPr>
        <w:t xml:space="preserve">SYSTEM DESIGN DOCUMENT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Architecture · Database · API · Development Roadmap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SAHAYOG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Unified Multi-Agency Resource Deduplication &amp; Allocation Platform</w:t>
      </w:r>
    </w:p>
    <w:p>
      <w:pPr>
        <w:spacing w:after="800" w:before="1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Companion document to the Software Requirements Specification (SRS) v1.0</w:t>
      </w:r>
    </w:p>
    <w:tbl>
      <w:tblPr>
        <w:tblW w:type="dxa" w:w="7200"/>
        <w:jc w:val="center"/>
        <w:tblBorders>
          <w:top w:val="single" w:color="BFBFBF" w:sz="2"/>
          <w:left w:val="none"/>
          <w:bottom w:val="single" w:color="BFBFBF" w:sz="2"/>
          <w:right w:val="none"/>
          <w:insideH w:val="single" w:color="E7E7E7" w:sz="2"/>
          <w:insideV w:val="none"/>
        </w:tblBorders>
      </w:tblPr>
      <w:tblGrid>
        <w:gridCol w:w="2400"/>
        <w:gridCol w:w="480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August 2026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Related Document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SAHAYOG_SRS.docx v1.0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 — for internal team / faculty mentor review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—.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15-Aug-2026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 Team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Initial draft: architecture, ER model, API spec, sprint roadmap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Introduction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1.1 Purpose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System Design Document (SDD) translates the requirements defined in SAHAYOG_SRS.docx v1.0 into a concrete technical design: system architecture, database schema, module-level design, API contract, and a sprint-wise development roadmap. It is the primary reference for implementation and code review.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1.2 Scope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document covers the design of the SIH MVP (flood-relief scenario: 4 districts, 3 agency types, 5 resource types) and notes, where relevant, extension points for the full system vision described in SRS Section 6. It does not restate functional requirements in full — refer to the SRS for the authoritative requirement list (FR-xxx / NFR-xxx IDs used below match the SRS).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1.3 Design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Correctness of the deduplication and matching logic over visual polish.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Clear separation between the optimization/forecasting logic and the API layer, so algorithms can be swapped without changing contracts (supports SRS Section 5.4, Maintainability).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data model that treats resource_type and disaster_type as configurable values rather than hard-coded enums, so new disaster scenarios can be added without schema migration (supports SRS Section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human-in-the-loop authorization step before any resource is marked IN TRANSIT (supports SRS Section 5.2, Safety).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System Architecture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2.1 High-Level Architecture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SAHAYOG follows a layered pipeline architecture. Agency users submit data through a common API Gateway; that data flows through the Deduplication Engine, then the Matching &amp; Optimization Engine, then the Priority &amp; Forecasting module, before recommendations and live status reach the Command Centre Dashboard. Authorization actions from the dashboard flow back through the same gateway.</w:t>
      </w:r>
    </w:p>
    <w:p>
      <w:pPr>
        <w:spacing w:before="120"/>
        <w:jc w:val="center"/>
      </w:pPr>
      <w:r>
        <w:drawing>
          <wp:inline distT="0" distB="0" distL="0" distR="0">
            <wp:extent cx="59055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2.1 — High-level layered architecture.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2.2 Deployment / Component View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application is containerized (Docker) and deployed across three tiers: a static client tier, an application tier hosting the REST API, WebSocket service, and two background workers (optimization and forecasting), and a data tier.</w:t>
      </w:r>
    </w:p>
    <w:p>
      <w:pPr>
        <w:spacing w:before="12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2.2 — Deployment and component diagram.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FastAPI REST Service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CRUD for agencies, resources, needs; auth; orchestrates calls to optimization/forecasting workers.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WebSocket Service</w:t>
            </w:r>
          </w:p>
        </w:tc>
        <w:tc>
          <w:tcPr>
            <w:tcW w:type="dxa" w:w="6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Publishes real-time resource/need/allocation state changes to subscribed dashboard clients (FR-RT-01).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Optimization Worker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Runs the OR-Tools-based matching algorithm on demand or on a schedule (FR-MAT-01–07).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Forecasting Worker</w:t>
            </w:r>
          </w:p>
        </w:tc>
        <w:tc>
          <w:tcPr>
            <w:tcW w:type="dxa" w:w="6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Computes time-to-shortage estimates using scikit-learn models (FR-FOR-01–03).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 Service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Issues/validates JWTs, enforces RBAC (FR-SEC-01–03, NFR-SEC-01–03).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PostgreSQL + PostGIS</w:t>
            </w:r>
          </w:p>
        </w:tc>
        <w:tc>
          <w:tcPr>
            <w:tcW w:type="dxa" w:w="6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 of record; PostGIS supports nearest-resource geospatial queries.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2.1 — Component responsibilities.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2.3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React.js + Tailwind CSS + shadcn/ui + Recharts</w:t>
            </w:r>
          </w:p>
        </w:tc>
      </w:tr>
      <w:tr>
        <w:tc>
          <w:tcPr>
            <w:tcW w:type="dxa" w:w="2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Maps / GIS</w:t>
            </w:r>
          </w:p>
        </w:tc>
        <w:tc>
          <w:tcPr>
            <w:tcW w:type="dxa" w:w="65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Leaflet + OpenStreetMap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FastAPI (Python 3.11+)</w:t>
            </w:r>
          </w:p>
        </w:tc>
      </w:tr>
      <w:tr>
        <w:tc>
          <w:tcPr>
            <w:tcW w:type="dxa" w:w="2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65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PostgreSQL 15 + PostGIS extension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Google OR-Tools (CP-SAT / linear solver)</w:t>
            </w:r>
          </w:p>
        </w:tc>
      </w:tr>
      <w:tr>
        <w:tc>
          <w:tcPr>
            <w:tcW w:type="dxa" w:w="2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ML / Forecasting</w:t>
            </w:r>
          </w:p>
        </w:tc>
        <w:tc>
          <w:tcPr>
            <w:tcW w:type="dxa" w:w="65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scikit-learn (linear/regression models for MVP)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Real-time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WebSockets (FastAPI native) + PostgreSQL LISTEN/NOTIFY</w:t>
            </w:r>
          </w:p>
        </w:tc>
      </w:tr>
      <w:tr>
        <w:tc>
          <w:tcPr>
            <w:tcW w:type="dxa" w:w="2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65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(access + refresh) + RBAC middleware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Containerization / Hosting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Docker; Vercel (frontend); Render/Railway (backend + DB)</w:t>
            </w:r>
          </w:p>
        </w:tc>
      </w:tr>
      <w:tr>
        <w:tc>
          <w:tcPr>
            <w:tcW w:type="dxa" w:w="2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 / Testing</w:t>
            </w:r>
          </w:p>
        </w:tc>
        <w:tc>
          <w:tcPr>
            <w:tcW w:type="dxa" w:w="65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GitHub Actions; Pytest (backend); Vitest/RTL (frontend)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2.3 — Technology stack by layer.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Database Design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3.1 Entity-Relationship Diagram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core entities are Agency, User, District, Resource, Need, Allocation, AllocationItem, Notification, and AuditLog. Resource and Need are the two central tables the Deduplication and Matching engines operate over; Allocation/AllocationItem record the outcome of a match once a Command Centre operator authorizes it.</w:t>
      </w:r>
    </w:p>
    <w:p>
      <w:pPr>
        <w:spacing w:before="12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3.1 — Entity-relationship diagram.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3.2 Table Definitions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3.2.1 agency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agency_id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e.g., "NDRF Battalion 5"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NDRF | ARMY | SDRF | NGO | HOSPITAL | STATE_AUTHORITY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contact_info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phone, email, address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now()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3.2.2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agency_id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 (FK -&gt; agency)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nullable for SUPER_ADMIN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name / email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unique, indexed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SUPER_ADMIN | STATE_OPERATOR | AGENCY_ADMIN | AGENCY_STAFF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bcrypt/argon2, never plaintext (NFR-SEC-01)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3.2.3 district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district_id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name / state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e.g., Kota, Rajasthan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geometry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GEOMETRY(Polygon,4326)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PostGIS boundary; centroid used for distance calc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affected_population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used by forecasting module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3.2.4 resource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resource_id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agency_id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 (FK)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owning agency (FR-DED-02)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district_id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 (FK)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resource_type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BOAT | AMBULANCE | GENERATOR | FOOD_PACKET | DRINKING_WATER | … (configurable, FR extensible)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quantity / unit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NUMERIC / VARCHAR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e.g., 15 / "units", 5000 / "packets"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location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GEOGRAPHY(Point,4326)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PostGIS point; drives distance ranking (FR-MAT-02)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AVAILABLE | DEPLOYED | IN_TRANSIT | RESERVED | DAMAGED | EXPIRED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expiry / updated_at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expiry nullable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3.2.5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need_id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district_id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 (FK)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resource_type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matches resource.resource_type domain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quantity_needed / quantity_fulfilled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fulfilled updated as allocations are accepted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CRITICAL | HIGH | MEDIUM | LOW — derived (FR-PRI-01)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deadline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drives priority derivation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 | PARTIALLY_MET | RESOLVED | EXPIRED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3.2.6 allocation &amp; allocation_item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allocation_id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need_id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 (FK)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PROPOSED | ACCEPTED | MODIFIED | REJECTED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authorized_by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 (FK -&gt; user)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nullable until authorized (FR-MAT-05)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item_id / allocation_id / resource_id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allocation_item child rows</w:t>
            </w:r>
          </w:p>
        </w:tc>
      </w:tr>
      <w:tr>
        <w:tc>
          <w:tcPr>
            <w:tcW w:type="dxa" w:w="18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quantity_allocated / distance_km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59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per-resource split (FR-MAT-03)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3.2.7 notification &amp; audit_log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notification: notification_id, type (DUPLICATE_DEPLOYMENT | SHORTAGE_ALERT | FORECAST_ALERT), ref_id, ref_type, message, severity, created_at, read_at.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audit_log: log_id, user_id, action, entity, entity_id, before/after snapshot (JSONB), timestamp — satisfies FR-REG-05.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Module-Level Design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4.1 Deduplication Engine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Implemented as a database view / materialized aggregation rather than an application-level loop, for correctness and performance: GROUP BY (district_id, resource_type) over resource rows where status = 'AVAILABLE', summing quantity. Recomputed on every write via a trigger-backed refresh or a short-interval scheduled job (satisfies FR-DED-01/03).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Conflict detection (FR-DED-04/05/06) runs as a separate scheduled job comparing recent resource/need writes within a configurable time and geography window and inserting Notification rows when thresholds are crossed.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4.2 Matching &amp; Optimization Engine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stateless service function: given a need_id, it (1) queries candidate resources of matching type and AVAILABLE status within a search radius, (2) computes distance via PostGIS ST_Distance, (3) builds a constrained allocation problem — minimize total distance-weighted cost subject to not exceeding each resource's available quantity and meeting the need's quantity — solved with OR-Tools' CP-SAT solver for the MVP scale, falling back to a greedy nearest-first heuristic if the solver times out. Output is a proposed Allocation + AllocationItem set with status PROPOSED, never auto-committed (FR-MAT-01–05).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4.3 Priority &amp; Forecasting Module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Priority (FR-PRI-01) is a pure function of a need's deadline, recalculated on read/write — no ML needed. Forecasting (FR-FOR-01/02) uses a lightweight linear regression / moving-average model over simulated historical consumption per (district, resource_type), producing an estimated_depletion_time; when this falls under a configurable threshold, the module creates a synthetic "pre-emptive" need feeding into the same matching pipeline.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4.4 Access Control Middleware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FastAPI dependency validates the JWT, loads the user's role and agency_id, and injects a scope object used by every route handler to filter queries (e.g., Agency Staff can only UPDATE resource rows where resource.agency_id == user.agency_id). This mirrors the requirement that authorization is enforced server-side, not just in the UI (NFR-SEC-02).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4.5 Real-Time Update Service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Uses PostgreSQL LISTEN/NOTIFY triggered by row-level changes on resource, need, and allocation tables; the WebSocket service subscribes to these channels and rebroadcasts scoped events to connected dashboard clients over authenticated WSS connections (FR-RT-01/02). Clients reconcile state via a REST fetch on reconnect if a gap is detected (FR-RT-03).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Key Process Flow — Matching &amp; Allocation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flow illustrates the end-to-end path from a new need being reported to the dashboard reflecting a resolved state, and is the sequence demonstrated live in the SIH prototype (see SRS Appendix C).</w:t>
      </w:r>
    </w:p>
    <w:p>
      <w:pPr>
        <w:spacing w:before="120"/>
        <w:jc w:val="center"/>
      </w:pPr>
      <w:r>
        <w:drawing>
          <wp:inline distT="0" distB="0" distL="0" distR="0">
            <wp:extent cx="304800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5.1 — Matching engine process flow.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API Design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All endpoints are prefixed /api/v1 and require a bearer JWT unless noted. Responses are JSON; errors follow { "error": { "code": ..., "message": ... } }.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6.1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86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8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Authenticate; returns access + refresh JWT.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48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Exchange refresh token for new access token.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Revoke refresh token.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6.2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86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8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/resources?district_id=&amp;resource_type=&amp;status=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 resources, filterable; RBAC-scoped (FR-REG, FR-DED-02).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/resources</w:t>
            </w:r>
          </w:p>
        </w:tc>
        <w:tc>
          <w:tcPr>
            <w:tcW w:type="dxa" w:w="48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a resource record (FR-REG-01).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/resources/{id}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 quantity/status; owning agency only (FR-REG-03).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/resources/pooled?district_id=&amp;resource_type=</w:t>
            </w:r>
          </w:p>
        </w:tc>
        <w:tc>
          <w:tcPr>
            <w:tcW w:type="dxa" w:w="48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Deduplicated pooled totals by district/type (FR-DED-01).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/resources/nearby?lat=&amp;lng=&amp;resource_type=&amp;radius_km=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PostGIS proximity search.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6.3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86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8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/needs?district_id=&amp;status=&amp;priority=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 needs, filterable (FR-REG-02).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/needs</w:t>
            </w:r>
          </w:p>
        </w:tc>
        <w:tc>
          <w:tcPr>
            <w:tcW w:type="dxa" w:w="48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a need; priority auto-derived (FR-PRI-01).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/needs/{id}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 quantity/deadline/status.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6.4 Matching &amp; Allocations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86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8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/needs/{id}/match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Trigger the matching engine; returns a PROPOSED allocation (FR-MAT-01–04).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/allocations?status=</w:t>
            </w:r>
          </w:p>
        </w:tc>
        <w:tc>
          <w:tcPr>
            <w:tcW w:type="dxa" w:w="48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 allocations, filterable by status.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/allocations/{id}/authorize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Accept/modify a proposed allocation; sets resources IN_TRANSIT (FR-MAT-05/06).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/allocations/{id}/reject</w:t>
            </w:r>
          </w:p>
        </w:tc>
        <w:tc>
          <w:tcPr>
            <w:tcW w:type="dxa" w:w="48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 a proposed allocation; need remains OPEN.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6.5 Dashboard, Forecasting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86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8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/dashboard/summary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Aggregated surplus/deficit per district/resource type for the map view (FR-MAP-01–03).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/districts/{id}/forecast?resource_type=</w:t>
            </w:r>
          </w:p>
        </w:tc>
        <w:tc>
          <w:tcPr>
            <w:tcW w:type="dxa" w:w="48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Time-to-shortage estimate (FR-FOR-01).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/notifications?unread=true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 alerts for the current user's scope (FR-SEC-04/05).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WS</w:t>
            </w:r>
          </w:p>
        </w:tc>
        <w:tc>
          <w:tcPr>
            <w:tcW w:type="dxa" w:w="3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/ws/dashboard</w:t>
            </w:r>
          </w:p>
        </w:tc>
        <w:tc>
          <w:tcPr>
            <w:tcW w:type="dxa" w:w="48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Authenticated WebSocket channel streaming resource/need/allocation change events (FR-RT-01).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6.6 Sample Payload — POST /needs/{id}/match response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{
  "allocation_id": "a1e2...", 
  "need_id": "n001",
  "status": "PROPOSED",
  "items": [
    { "resource_id": "r-ndrf-01", "agency": "NDRF", "quantity_allocated": 10, "distance_km": 35 },
    { "resource_id": "r-army-04", "agency": "Army", "quantity_allocated": 12, "distance_km": 48 },
    { "resource_id": "r-ngo-02",  "agency": "NGO X", "quantity_allocated": 8,  "distance_km": 12 }
  ],
  "quantity_requested": 30,
  "quantity_covered": 30,
  "unmet": 0
}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Development Roadmap — Sprint Plan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An eight-sprint plan (assuming ~1 week sprints, adjustable to the hackathon timeline) takes the project from schema to demo-ready MVP, mirroring the phased build order recommended in the ideation notes (basic system → deduplication → matching → map → AI).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6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Setup &amp; Schema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 scaffolding, Docker Compose (API + Postgres/PostGIS), DB schema + migrations, CI pipeline skeleton.</w:t>
            </w:r>
          </w:p>
        </w:tc>
      </w:tr>
      <w:tr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 &amp; Core CRUD</w:t>
            </w:r>
          </w:p>
        </w:tc>
        <w:tc>
          <w:tcPr>
            <w:tcW w:type="dxa" w:w="64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auth, RBAC middleware, Agency/User models, /resources and /needs CRUD endpoints (FR-REG).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 Shell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React app shell, login flow, role-based routing, resource/need entry forms.</w:t>
            </w:r>
          </w:p>
        </w:tc>
      </w:tr>
      <w:tr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Deduplication Engine</w:t>
            </w:r>
          </w:p>
        </w:tc>
        <w:tc>
          <w:tcPr>
            <w:tcW w:type="dxa" w:w="64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Pooled-totals view/endpoint, per-agency breakdown, unused-surplus flagging (FR-DED-01–03,06).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Matching Engine v1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Greedy nearest-first matching, PostGIS distance queries, allocation authorize/reject flow (FR-MAT-01–06).</w:t>
            </w:r>
          </w:p>
        </w:tc>
      </w:tr>
      <w:tr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Map &amp; Dashboard</w:t>
            </w:r>
          </w:p>
        </w:tc>
        <w:tc>
          <w:tcPr>
            <w:tcW w:type="dxa" w:w="64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Leaflet map with status colour-coding, district drill-down panel, summary cards (FR-MAP-01–03).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Real-Time + Optimization Upgrade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WebSocket live updates (FR-RT-01–03); upgrade matching to OR-Tools CP-SAT (FR-MAT-07); duplicate-deployment detection (FR-DED-04/05).</w:t>
            </w:r>
          </w:p>
        </w:tc>
      </w:tr>
      <w:tr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Forecasting, Polish &amp; Demo</w:t>
            </w:r>
          </w:p>
        </w:tc>
        <w:tc>
          <w:tcPr>
            <w:tcW w:type="dxa" w:w="64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Forecasting module (FR-FOR-01–03), notifications (FR-SEC-04/05), end-to-end flood-scenario demo data, UI polish, deployment, rehearsal.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7.1 — Sprint-wise development roadmap.</w:t>
      </w:r>
    </w:p>
    <w:p>
      <w:pPr>
        <w:pStyle w:val="Heading2"/>
        <w:spacing w:after="120" w:before="300"/>
      </w:pPr>
      <w:r>
        <w:rPr>
          <w:b/>
          <w:bCs/>
          <w:color w:val="2E5395"/>
          <w:sz w:val="25"/>
          <w:szCs w:val="25"/>
        </w:rPr>
        <w:t xml:space="preserve">7.1 Definition of Done — MVP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Critical-priority requirements from the SRS (FR-*/NFR-* marked Critical) are implemented and demonstrable.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4-district / 3-agency / 5-resource-type flood scenario (SRS Appendix C) runs end-to-end: data entry → pooled totals → critical need → recommended allocation → authorization → map updates to 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system is deployed and reachable via a public URL for judges, with seeded demo data reset between runs.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A. Appendix A — Traceability Note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Functional and non-functional requirement IDs used throughout this document (FR-REG-xx, FR-DED-xx, FR-MAT-xx, FR-PRI-xx, FR-FOR-xx, FR-MAP-xx, FR-SEC-xx, FR-RT-xx, NFR-xx) correspond one-to-one with the requirement tables in SAHAYOG_SRS.docx, Sections 3 and 5. Any change to a requirement ID in the SRS should be reflected here to keep design and requirements traceable.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SDD — SAHAYOG Resource Orchestration Platform</w:t>
    </w:r>
    <w:r>
      <w:rPr>
        <w:rFonts w:ascii="Calibri" w:cs="Calibri" w:eastAsia="Calibri" w:hAnsi="Calibri"/>
        <w:color w:val="595959"/>
        <w:sz w:val="16"/>
        <w:szCs w:val="16"/>
      </w:rPr>
      <w:t xml:space="preserve">	Smart India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9c42c8e2f1dd03ac8a5ef9f2660730907da69b.png"/><Relationship Id="rId10" Type="http://schemas.openxmlformats.org/officeDocument/2006/relationships/image" Target="media/324c2fb3e96854635d08a1fe29a57477a07619f4.png"/><Relationship Id="rId11" Type="http://schemas.openxmlformats.org/officeDocument/2006/relationships/image" Target="media/d05783a880057caa19a51594946c399f78a2f4d0.png"/><Relationship Id="rId12" Type="http://schemas.openxmlformats.org/officeDocument/2006/relationships/image" Target="media/13acdcf94a9cf2e24d59a8aa046cb8afcbd3fca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2026-08-15T15:58:19.416Z</dcterms:created>
  <dcterms:modified xsi:type="dcterms:W3CDTF">2026-08-15T15:58:19.430Z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