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Rstudio en vo</w:t>
      </w:r>
      <w:r w:rsidR="00791248">
        <w:t xml:space="preserve">er </w:t>
      </w:r>
      <w:r w:rsidR="006E07D0">
        <w:t>tbl</w:t>
      </w:r>
      <w:r w:rsidR="00791248">
        <w:t xml:space="preserve">_maken.R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r w:rsidRPr="00AD42A1">
              <w:lastRenderedPageBreak/>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2BE57CEE" w14:textId="77777777" w:rsidTr="00CC4F1B">
        <w:tc>
          <w:tcPr>
            <w:tcW w:w="2689" w:type="dxa"/>
          </w:tcPr>
          <w:p w14:paraId="0D739931" w14:textId="29BED818" w:rsidR="008A3CC2" w:rsidRPr="008A3CC2" w:rsidRDefault="008A3CC2" w:rsidP="008B42D9">
            <w:r>
              <w:t>multithreading</w:t>
            </w:r>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w:t>
            </w:r>
            <w:r w:rsidR="009844D9">
              <w:lastRenderedPageBreak/>
              <w:t xml:space="preserve">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w:t>
      </w:r>
      <w:r w:rsidR="00C00FE0">
        <w:lastRenderedPageBreak/>
        <w:t xml:space="preserve">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674CEBF5"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D04F637" w:rsidR="001B2EC4" w:rsidRDefault="00CC4B0A" w:rsidP="00331B24">
      <w:pPr>
        <w:pStyle w:val="Geenafstand"/>
      </w:pPr>
      <w:r>
        <w:rPr>
          <w:noProof/>
        </w:rPr>
        <w:drawing>
          <wp:anchor distT="0" distB="0" distL="114300" distR="114300" simplePos="0" relativeHeight="251658240" behindDoc="0" locked="0" layoutInCell="1" allowOverlap="1" wp14:anchorId="513A771B" wp14:editId="0F180F0F">
            <wp:simplePos x="0" y="0"/>
            <wp:positionH relativeFrom="margin">
              <wp:align>right</wp:align>
            </wp:positionH>
            <wp:positionV relativeFrom="margin">
              <wp:posOffset>6463665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774F00E2"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“nvar”</w:t>
            </w:r>
          </w:p>
        </w:tc>
        <w:tc>
          <w:tcPr>
            <w:tcW w:w="0" w:type="auto"/>
          </w:tcPr>
          <w:p w14:paraId="3EBCB6B8" w14:textId="614BCEEA" w:rsidR="00654ED9" w:rsidRDefault="008075DD" w:rsidP="001C41A5">
            <w:r>
              <w:t>Geeft de genoemde variabele weer. Bij “nvar”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t>
            </w:r>
            <w:r w:rsidR="0064248B">
              <w:lastRenderedPageBreak/>
              <w:t xml:space="preserve">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lastRenderedPageBreak/>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titels in pt</w:t>
            </w:r>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E42C8F">
              <w:rPr>
                <w:lang w:val="en-US"/>
              </w:rPr>
              <w:t>Excel accepteert hexadecimale codes (#FFFFFF) of</w:t>
            </w:r>
            <w:r>
              <w:rPr>
                <w:lang w:val="en-US"/>
              </w:rPr>
              <w:t xml:space="preserve">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 xml:space="preserve">Dit dient een geldige naam van een lettertype te zijn. Tip: gebruik </w:t>
            </w:r>
            <w:r w:rsidR="00661D47">
              <w:lastRenderedPageBreak/>
              <w:t>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lastRenderedPageBreak/>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w:t>
            </w:r>
            <w:r w:rsidR="00DC783E">
              <w:lastRenderedPageBreak/>
              <w:t xml:space="preserve">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lastRenderedPageBreak/>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63B8F"/>
    <w:rsid w:val="0026419C"/>
    <w:rsid w:val="0026432B"/>
    <w:rsid w:val="00287230"/>
    <w:rsid w:val="002A0224"/>
    <w:rsid w:val="002A1826"/>
    <w:rsid w:val="002B495E"/>
    <w:rsid w:val="002B6BFE"/>
    <w:rsid w:val="002B6C78"/>
    <w:rsid w:val="002B6E5D"/>
    <w:rsid w:val="002D0ADD"/>
    <w:rsid w:val="002D4B2F"/>
    <w:rsid w:val="002E0819"/>
    <w:rsid w:val="002E1EFF"/>
    <w:rsid w:val="002E2856"/>
    <w:rsid w:val="002E4BF5"/>
    <w:rsid w:val="002F263B"/>
    <w:rsid w:val="003033B8"/>
    <w:rsid w:val="00303B37"/>
    <w:rsid w:val="00304CAB"/>
    <w:rsid w:val="003054FE"/>
    <w:rsid w:val="00316E46"/>
    <w:rsid w:val="0033169B"/>
    <w:rsid w:val="00331B24"/>
    <w:rsid w:val="0033543E"/>
    <w:rsid w:val="003358C9"/>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1201"/>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1AF4"/>
    <w:rsid w:val="007351C4"/>
    <w:rsid w:val="00751D51"/>
    <w:rsid w:val="0075639A"/>
    <w:rsid w:val="0075783E"/>
    <w:rsid w:val="00763742"/>
    <w:rsid w:val="00764798"/>
    <w:rsid w:val="00773A84"/>
    <w:rsid w:val="00774B8A"/>
    <w:rsid w:val="00775A67"/>
    <w:rsid w:val="00786968"/>
    <w:rsid w:val="00787C93"/>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95536"/>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37178"/>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A755B"/>
    <w:rsid w:val="00AB347A"/>
    <w:rsid w:val="00AB5EFD"/>
    <w:rsid w:val="00AC1025"/>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35C8"/>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6725A"/>
    <w:rsid w:val="00E7620E"/>
    <w:rsid w:val="00E76972"/>
    <w:rsid w:val="00E80AF6"/>
    <w:rsid w:val="00E8264F"/>
    <w:rsid w:val="00E96EA9"/>
    <w:rsid w:val="00EA48E7"/>
    <w:rsid w:val="00EB47C0"/>
    <w:rsid w:val="00ED30FA"/>
    <w:rsid w:val="00F02B33"/>
    <w:rsid w:val="00F0327A"/>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14D4"/>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12</Pages>
  <Words>4276</Words>
  <Characters>23523</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158</cp:revision>
  <dcterms:created xsi:type="dcterms:W3CDTF">2023-03-31T11:37:00Z</dcterms:created>
  <dcterms:modified xsi:type="dcterms:W3CDTF">2023-04-20T13:23:00Z</dcterms:modified>
</cp:coreProperties>
</file>