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0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Linking lab data by design</w:t>
      </w:r>
    </w:p>
    <w:p>
      <w:pPr>
        <w:pStyle w:val="Subtitle"/>
      </w:pPr>
      <w:r>
        <w:t xml:space="preserve">A sampling-provenance proposal for future incidents</w:t>
      </w:r>
    </w:p>
    <w:p>
      <w:pPr>
        <w:pStyle w:val="FirstParagraph"/>
      </w:pPr>
      <w:r>
        <w:t xml:space="preserve">The companion to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★ Ingesting lab data</w:t>
        </w:r>
      </w:hyperlink>
      <w:r>
        <w:t xml:space="preserve"> </w:t>
      </w:r>
      <w:r>
        <w:t xml:space="preserve">is this: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linking lab data to the</w:t>
      </w:r>
      <w:r>
        <w:t xml:space="preserve"> </w:t>
      </w:r>
      <w:r>
        <w:t xml:space="preserve">right event/case is hard today, and a concrete idea for making it easy going forward. The</w:t>
      </w:r>
      <w:r>
        <w:t xml:space="preserve"> </w:t>
      </w:r>
      <w:r>
        <w:t xml:space="preserve">how-to page covers what you do now; this page is about where we’re headed.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This is a proposal, not a current feature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Sampling Event Code</w:t>
            </w:r>
            <w:r>
              <w:t xml:space="preserve"> </w:t>
            </w:r>
            <w:r>
              <w:t xml:space="preserve">described here isn’t built yet — it’s a design direction for</w:t>
            </w:r>
            <w:r>
              <w:t xml:space="preserve"> </w:t>
            </w:r>
            <w:r>
              <w:t xml:space="preserve">discussion. Everything you actually test today is on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Ingesting lab data</w:t>
              </w:r>
            </w:hyperlink>
            <w:r>
              <w:t xml:space="preserve"> </w:t>
            </w:r>
            <w:r>
              <w:t xml:space="preserve">page. Feedback on this idea is very welcome — see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Giving feedback</w:t>
              </w:r>
            </w:hyperlink>
            <w:r>
              <w:t xml:space="preserve">.</w:t>
            </w:r>
          </w:p>
          <w:p/>
        </w:tc>
      </w:tr>
    </w:tbl>
    <w:bookmarkStart w:id="14" w:name="the-problem-a-moving-timeline"/>
    <w:p>
      <w:pPr>
        <w:pStyle w:val="Heading2"/>
      </w:pPr>
      <w:r>
        <w:t xml:space="preserve">The problem: a moving timeline</w:t>
      </w:r>
    </w:p>
    <w:p>
      <w:pPr>
        <w:pStyle w:val="FirstParagraph"/>
      </w:pPr>
      <w:r>
        <w:t xml:space="preserve">HAB response isn’t a tidy pipeline. A typical incident plays out like this:</w:t>
      </w:r>
    </w:p>
    <w:p>
      <w:pPr>
        <w:pStyle w:val="Compact"/>
        <w:numPr>
          <w:ilvl w:val="0"/>
          <w:numId w:val="1001"/>
        </w:numPr>
      </w:pPr>
      <w:r>
        <w:t xml:space="preserve">An incident is</w:t>
      </w:r>
      <w:r>
        <w:t xml:space="preserve"> </w:t>
      </w:r>
      <w:r>
        <w:rPr>
          <w:b/>
          <w:bCs/>
        </w:rPr>
        <w:t xml:space="preserve">opened on partial information</w:t>
      </w:r>
      <w:r>
        <w:t xml:space="preserve"> </w:t>
      </w:r>
      <w:r>
        <w:t xml:space="preserve">— a report, a photo, a call. Whether anyone</w:t>
      </w:r>
      <w:r>
        <w:t xml:space="preserve"> </w:t>
      </w:r>
      <w:r>
        <w:t xml:space="preserve">samples, and who, is often undecided.</w:t>
      </w:r>
    </w:p>
    <w:p>
      <w:pPr>
        <w:pStyle w:val="Compact"/>
        <w:numPr>
          <w:ilvl w:val="0"/>
          <w:numId w:val="1001"/>
        </w:numPr>
      </w:pPr>
      <w:r>
        <w:t xml:space="preserve">One or more parties — Water Board staff, a tribe, a lake association, a partner agency —</w:t>
      </w:r>
      <w:r>
        <w:t xml:space="preserve"> </w:t>
      </w:r>
      <w:r>
        <w:rPr>
          <w:b/>
          <w:bCs/>
        </w:rPr>
        <w:t xml:space="preserve">decide independently to sample</w:t>
      </w:r>
      <w:r>
        <w:t xml:space="preserve">, each on their own schedule.</w:t>
      </w:r>
    </w:p>
    <w:p>
      <w:pPr>
        <w:pStyle w:val="Compact"/>
        <w:numPr>
          <w:ilvl w:val="0"/>
          <w:numId w:val="1001"/>
        </w:numPr>
      </w:pPr>
      <w:r>
        <w:t xml:space="preserve">Samples are collected, split, and shipped to</w:t>
      </w:r>
      <w:r>
        <w:t xml:space="preserve"> </w:t>
      </w:r>
      <w:r>
        <w:rPr>
          <w:b/>
          <w:bCs/>
        </w:rPr>
        <w:t xml:space="preserve">different laboratories</w:t>
      </w:r>
      <w:r>
        <w:t xml:space="preserve">, each with its own</w:t>
      </w:r>
      <w:r>
        <w:t xml:space="preserve"> </w:t>
      </w:r>
      <w:r>
        <w:t xml:space="preserve">forms, sample IDs, and turnaround.</w:t>
      </w:r>
    </w:p>
    <w:p>
      <w:pPr>
        <w:pStyle w:val="Compact"/>
        <w:numPr>
          <w:ilvl w:val="0"/>
          <w:numId w:val="1001"/>
        </w:numPr>
      </w:pPr>
      <w:r>
        <w:t xml:space="preserve">Results</w:t>
      </w:r>
      <w:r>
        <w:t xml:space="preserve"> </w:t>
      </w:r>
      <w:r>
        <w:rPr>
          <w:b/>
          <w:bCs/>
        </w:rPr>
        <w:t xml:space="preserve">trickle back about a week later</w:t>
      </w:r>
      <w:r>
        <w:t xml:space="preserve">, under the lab’s naming — not the program’s.</w:t>
      </w:r>
    </w:p>
    <w:p>
      <w:pPr>
        <w:pStyle w:val="Compact"/>
        <w:numPr>
          <w:ilvl w:val="0"/>
          <w:numId w:val="1001"/>
        </w:numPr>
      </w:pPr>
      <w:r>
        <w:t xml:space="preserve">For a high-concern case,</w:t>
      </w:r>
      <w:r>
        <w:t xml:space="preserve"> </w:t>
      </w:r>
      <w:r>
        <w:rPr>
          <w:b/>
          <w:bCs/>
        </w:rPr>
        <w:t xml:space="preserve">more sampling events follow</w:t>
      </w:r>
      <w:r>
        <w:t xml:space="preserve">, multiplying the artifacts.</w:t>
      </w:r>
    </w:p>
    <w:p>
      <w:pPr>
        <w:pStyle w:val="FirstParagraph"/>
      </w:pPr>
      <w:r>
        <w:t xml:space="preserve">Everything gets tucked into folders. Months or years later someone opens those folders and tries</w:t>
      </w:r>
      <w:r>
        <w:t xml:space="preserve"> </w:t>
      </w:r>
      <w:r>
        <w:t xml:space="preserve">to reconstruct which result belongs to which sampling event, which event to which case, and which</w:t>
      </w:r>
      <w:r>
        <w:t xml:space="preserve"> </w:t>
      </w:r>
      <w:r>
        <w:t xml:space="preserve">case to which response. That reconstruction is slow, ambiguous, and lossy — and it delays the</w:t>
      </w:r>
      <w:r>
        <w:t xml:space="preserve"> </w:t>
      </w:r>
      <w:r>
        <w:t xml:space="preserve">moment the data can become authoritative public information.</w:t>
      </w:r>
    </w:p>
    <w:bookmarkEnd w:id="14"/>
    <w:bookmarkStart w:id="15" w:name="X0760eead035f3192b08ca0d1bb3da2c631c7783"/>
    <w:p>
      <w:pPr>
        <w:pStyle w:val="Heading2"/>
      </w:pPr>
      <w:r>
        <w:t xml:space="preserve">Why it’s hard now: we assign identity too late</w:t>
      </w:r>
    </w:p>
    <w:p>
      <w:pPr>
        <w:pStyle w:val="FirstParagraph"/>
      </w:pPr>
      <w:r>
        <w:t xml:space="preserve">The root cause, in database terms:</w:t>
      </w:r>
      <w:r>
        <w:t xml:space="preserve"> </w:t>
      </w:r>
      <w:r>
        <w:rPr>
          <w:b/>
          <w:bCs/>
        </w:rPr>
        <w:t xml:space="preserve">the key that ties a result to its incident doesn’t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the time the sample is taken.</w:t>
      </w:r>
      <w:r>
        <w:t xml:space="preserve"> </w:t>
      </w:r>
      <w:r>
        <w:t xml:space="preserve">It has to be rebuilt afterward from weak signals.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Fuzzy matching after the fact.</w:t>
      </w:r>
      <w:r>
        <w:t xml:space="preserve"> </w:t>
      </w:r>
      <w:r>
        <w:t xml:space="preserve">Identity is inferred from station code, date, coordinates,</w:t>
      </w:r>
      <w:r>
        <w:t xml:space="preserve"> </w:t>
      </w:r>
      <w:r>
        <w:t xml:space="preserve">and water-body name. That’s exactly what the</w:t>
      </w:r>
      <w:r>
        <w:t xml:space="preserve"> </w:t>
      </w:r>
      <w:r>
        <w:rPr>
          <w:b/>
          <w:bCs/>
        </w:rPr>
        <w:t xml:space="preserve">Lab data workboard</w:t>
      </w:r>
      <w:r>
        <w:t xml:space="preserve"> </w:t>
      </w:r>
      <w:r>
        <w:t xml:space="preserve">reconciler does today</w:t>
      </w:r>
      <w:r>
        <w:t xml:space="preserve"> </w:t>
      </w:r>
      <w:r>
        <w:t xml:space="preserve">(</w:t>
      </w:r>
      <w:r>
        <w:t xml:space="preserve">“within ~2 km and ±14 days”</w:t>
      </w:r>
      <w:r>
        <w:t xml:space="preserve">) — but it’s a</w:t>
      </w:r>
      <w:r>
        <w:t xml:space="preserve"> </w:t>
      </w:r>
      <w:r>
        <w:rPr>
          <w:i/>
          <w:iCs/>
        </w:rPr>
        <w:t xml:space="preserve">backstop</w:t>
      </w:r>
      <w:r>
        <w:t xml:space="preserve">, not ground truth. Two blooms on the same</w:t>
      </w:r>
      <w:r>
        <w:t xml:space="preserve"> </w:t>
      </w:r>
      <w:r>
        <w:t xml:space="preserve">lake in the same fortnight are genuinely hard to tell apart from coordinates alone.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CoC carries the only authoritative location and date</w:t>
      </w:r>
      <w:r>
        <w:t xml:space="preserve"> </w:t>
      </w:r>
      <w:r>
        <w:t xml:space="preserve">— and it arrives as paper or a</w:t>
      </w:r>
      <w:r>
        <w:t xml:space="preserve"> </w:t>
      </w:r>
      <w:r>
        <w:t xml:space="preserve">rotated PDF someone has to read and retype, often long after the fact.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Every party uses its own IDs.</w:t>
      </w:r>
      <w:r>
        <w:t xml:space="preserve"> </w:t>
      </w:r>
      <w:r>
        <w:t xml:space="preserve">Field crew, each lab, and the case file name the same sample</w:t>
      </w:r>
      <w:r>
        <w:t xml:space="preserve"> </w:t>
      </w:r>
      <w:r>
        <w:t xml:space="preserve">three different ways, with no key in common.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sampling event is fragmented</w:t>
      </w:r>
      <w:r>
        <w:t xml:space="preserve"> </w:t>
      </w:r>
      <w:r>
        <w:t xml:space="preserve">— grab samples to Lab A, SPATT to Lab B, genetic assays to</w:t>
      </w:r>
      <w:r>
        <w:t xml:space="preserve"> </w:t>
      </w:r>
      <w:r>
        <w:t xml:space="preserve">Lab C — with nothing declaring they belong together.</w:t>
      </w:r>
    </w:p>
    <w:p>
      <w:pPr>
        <w:pStyle w:val="FirstParagraph"/>
      </w:pPr>
      <w:r>
        <w:t xml:space="preserve">No amount of downstream cleverness fully recovers information that was never captured. The fix is</w:t>
      </w:r>
      <w:r>
        <w:t xml:space="preserve"> </w:t>
      </w:r>
      <w:r>
        <w:t xml:space="preserve">to move identity</w:t>
      </w:r>
      <w:r>
        <w:t xml:space="preserve"> </w:t>
      </w:r>
      <w:r>
        <w:rPr>
          <w:i/>
          <w:iCs/>
        </w:rPr>
        <w:t xml:space="preserve">upstream</w:t>
      </w:r>
      <w:r>
        <w:t xml:space="preserve">, to the one moment every party passes through: the act of sampling.</w:t>
      </w:r>
    </w:p>
    <w:bookmarkEnd w:id="15"/>
    <w:bookmarkStart w:id="19" w:name="Xb88426964e6e4570cd356f8f86b43de2e277954"/>
    <w:p>
      <w:pPr>
        <w:pStyle w:val="Heading2"/>
      </w:pPr>
      <w:r>
        <w:t xml:space="preserve">The proposal: one code, issued at sampling time</w:t>
      </w:r>
    </w:p>
    <w:p>
      <w:pPr>
        <w:pStyle w:val="FirstParagraph"/>
      </w:pPr>
      <w:r>
        <w:t xml:space="preserve">Issue a</w:t>
      </w:r>
      <w:r>
        <w:t xml:space="preserve"> </w:t>
      </w:r>
      <w:r>
        <w:rPr>
          <w:b/>
          <w:bCs/>
        </w:rPr>
        <w:t xml:space="preserve">Sampling Event Code (SEC)</w:t>
      </w:r>
      <w:r>
        <w:t xml:space="preserve"> </w:t>
      </w:r>
      <w:r>
        <w:t xml:space="preserve">the moment a sampling effort is first anticipated —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know the party, the sample count, or the analyses. It’s a short, human-readable,</w:t>
      </w:r>
      <w:r>
        <w:t xml:space="preserve"> </w:t>
      </w:r>
      <w:r>
        <w:t xml:space="preserve">collision-free token that goes on</w:t>
      </w:r>
      <w:r>
        <w:t xml:space="preserve"> </w:t>
      </w:r>
      <w:r>
        <w:rPr>
          <w:b/>
          <w:bCs/>
        </w:rPr>
        <w:t xml:space="preserve">everything</w:t>
      </w:r>
      <w:r>
        <w:t xml:space="preserve">: the sampling order, the CoC, the sample labels,</w:t>
      </w:r>
      <w:r>
        <w:t xml:space="preserve"> </w:t>
      </w:r>
      <w:r>
        <w:t xml:space="preserve">the lab submission, the returned results file, the folder and file names, and the case record.</w:t>
      </w:r>
    </w:p>
    <w:p>
      <w:pPr>
        <w:pStyle w:val="SourceCode"/>
      </w:pPr>
      <w:r>
        <w:rPr>
          <w:rStyle w:val="VerbatimChar"/>
        </w:rPr>
        <w:t xml:space="preserve">FHAB-R5-20260731-7QK2</w:t>
      </w:r>
      <w:r>
        <w:br/>
      </w:r>
      <w:r>
        <w:rPr>
          <w:rStyle w:val="VerbatimChar"/>
        </w:rPr>
        <w:t xml:space="preserve"> │    │      │      └ random + check character (catches a mistype at entry)</w:t>
      </w:r>
      <w:r>
        <w:br/>
      </w:r>
      <w:r>
        <w:rPr>
          <w:rStyle w:val="VerbatimChar"/>
        </w:rPr>
        <w:t xml:space="preserve"> │    │      └ date the sampling event was opened</w:t>
      </w:r>
      <w:r>
        <w:br/>
      </w:r>
      <w:r>
        <w:rPr>
          <w:rStyle w:val="VerbatimChar"/>
        </w:rPr>
        <w:t xml:space="preserve"> │    └ regional board</w:t>
      </w:r>
      <w:r>
        <w:br/>
      </w:r>
      <w:r>
        <w:rPr>
          <w:rStyle w:val="VerbatimChar"/>
        </w:rPr>
        <w:t xml:space="preserve"> └ program</w:t>
      </w:r>
    </w:p>
    <w:p>
      <w:pPr>
        <w:pStyle w:val="FirstParagraph"/>
      </w:pPr>
      <w:r>
        <w:t xml:space="preserve">The format is</w:t>
      </w:r>
      <w:r>
        <w:t xml:space="preserve"> </w:t>
      </w:r>
      <w:r>
        <w:rPr>
          <w:b/>
          <w:bCs/>
        </w:rPr>
        <w:t xml:space="preserve">self-describing</w:t>
      </w:r>
      <w:r>
        <w:t xml:space="preserve"> </w:t>
      </w:r>
      <w:r>
        <w:t xml:space="preserve">so a person can sanity-check it at a glance, and</w:t>
      </w:r>
      <w:r>
        <w:t xml:space="preserve"> </w:t>
      </w:r>
      <w:r>
        <w:rPr>
          <w:b/>
          <w:bCs/>
        </w:rPr>
        <w:t xml:space="preserve">scope-free at</w:t>
      </w:r>
      <w:r>
        <w:rPr>
          <w:b/>
          <w:bCs/>
        </w:rPr>
        <w:t xml:space="preserve"> </w:t>
      </w:r>
      <w:r>
        <w:rPr>
          <w:b/>
          <w:bCs/>
        </w:rPr>
        <w:t xml:space="preserve">issue</w:t>
      </w:r>
      <w:r>
        <w:t xml:space="preserve">: the responsible party, the number of samples, the analytes, and the destination labs all</w:t>
      </w:r>
      <w:r>
        <w:t xml:space="preserve"> </w:t>
      </w:r>
      <w:r>
        <w:t xml:space="preserve">attach to the code</w:t>
      </w:r>
      <w:r>
        <w:t xml:space="preserve"> </w:t>
      </w:r>
      <w:r>
        <w:rPr>
          <w:i/>
          <w:iCs/>
        </w:rPr>
        <w:t xml:space="preserve">as they materialize</w:t>
      </w:r>
      <w:r>
        <w:t xml:space="preserve">. You never have to know the shape of the sampling effort</w:t>
      </w:r>
      <w:r>
        <w:t xml:space="preserve"> </w:t>
      </w:r>
      <w:r>
        <w:t xml:space="preserve">in advance — you only have to name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 fits the model we already have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 is just the human-facing face of the</w:t>
            </w:r>
            <w:r>
              <w:t xml:space="preserve"> </w:t>
            </w:r>
            <w:r>
              <w:rPr>
                <w:b/>
                <w:bCs/>
              </w:rPr>
              <w:t xml:space="preserve">Sampling Event</w:t>
            </w:r>
            <w:r>
              <w:t xml:space="preserve"> </w:t>
            </w:r>
            <w:r>
              <w:t xml:space="preserve">the system already creates for</w:t>
            </w:r>
            <w:r>
              <w:t xml:space="preserve"> </w:t>
            </w:r>
            <w:r>
              <w:t xml:space="preserve">each ingest (its</w:t>
            </w:r>
            <w:r>
              <w:t xml:space="preserve"> </w:t>
            </w:r>
            <w:r>
              <w:rPr>
                <w:rStyle w:val="VerbatimChar"/>
              </w:rPr>
              <w:t xml:space="preserve">Sampling_Event_ID</w:t>
            </w:r>
            <w:r>
              <w:t xml:space="preserve">, drawn from a reserved id range that can’t collide with the</w:t>
            </w:r>
            <w:r>
              <w:t xml:space="preserve"> </w:t>
            </w:r>
            <w:r>
              <w:t xml:space="preserve">ids published on data.ca.gov). The SEC simply</w:t>
            </w:r>
            <w:r>
              <w:t xml:space="preserve"> </w:t>
            </w:r>
            <w:r>
              <w:rPr>
                <w:b/>
                <w:bCs/>
              </w:rPr>
              <w:t xml:space="preserve">pre-registers</w:t>
            </w:r>
            <w:r>
              <w:t xml:space="preserve"> </w:t>
            </w:r>
            <w:r>
              <w:t xml:space="preserve">that sampling event and pushes its</w:t>
            </w:r>
            <w:r>
              <w:t xml:space="preserve"> </w:t>
            </w:r>
            <w:r>
              <w:t xml:space="preserve">id upstream, so the batch exists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its data arrives instead of being created at ingest.</w:t>
            </w:r>
          </w:p>
          <w:p/>
        </w:tc>
      </w:tr>
    </w:tbl>
    <w:p>
      <w:pPr>
        <w:pStyle w:val="BodyText"/>
      </w:pPr>
      <w:r>
        <w:t xml:space="preserve">One high-concern case naturally holds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sampling events over time — each new field effort</w:t>
      </w:r>
      <w:r>
        <w:t xml:space="preserve"> </w:t>
      </w:r>
      <w:r>
        <w:t xml:space="preserve">mints a new SEC under the same case:</w:t>
      </w:r>
    </w:p>
    <w:p>
      <w:pPr>
        <w:pStyle w:val="SourceCode"/>
      </w:pPr>
      <w:r>
        <w:rPr>
          <w:rStyle w:val="VerbatimChar"/>
        </w:rPr>
        <w:t xml:space="preserve">Case</w:t>
      </w:r>
      <w:r>
        <w:br/>
      </w:r>
      <w:r>
        <w:rPr>
          <w:rStyle w:val="VerbatimChar"/>
        </w:rPr>
        <w:t xml:space="preserve">└─ Report / Event</w:t>
      </w:r>
      <w:r>
        <w:br/>
      </w:r>
      <w:r>
        <w:rPr>
          <w:rStyle w:val="VerbatimChar"/>
        </w:rPr>
        <w:t xml:space="preserve">   ├─ Sampling Event · SEC #1  →  Sample  →  Result</w:t>
      </w:r>
      <w:r>
        <w:br/>
      </w:r>
      <w:r>
        <w:rPr>
          <w:rStyle w:val="VerbatimChar"/>
        </w:rPr>
        <w:t xml:space="preserve">   └─ Sampling Event · SEC #2  →  Sample  →  Result</w:t>
      </w:r>
    </w:p>
    <w:bookmarkEnd w:id="19"/>
    <w:bookmarkStart w:id="20" w:name="X23dab890b91c7d75b2cf8ceacc7fd13916477e2"/>
    <w:p>
      <w:pPr>
        <w:pStyle w:val="Heading2"/>
      </w:pPr>
      <w:r>
        <w:t xml:space="preserve">The workflow: pre-register, then reconcile on arrival</w:t>
      </w:r>
    </w:p>
    <w:p>
      <w:pPr>
        <w:pStyle w:val="FirstParagraph"/>
      </w:pPr>
      <w:r>
        <w:t xml:space="preserve">The SEC flips today’s order of operations. Instead of</w:t>
      </w:r>
      <w:r>
        <w:t xml:space="preserve"> </w:t>
      </w:r>
      <w:r>
        <w:t xml:space="preserve">“collect data, then reconstruct identity,”</w:t>
      </w:r>
      <w:r>
        <w:t xml:space="preserve"> </w:t>
      </w:r>
      <w:r>
        <w:t xml:space="preserve">it becomes</w:t>
      </w:r>
      <w:r>
        <w:t xml:space="preserve"> </w:t>
      </w:r>
      <w:r>
        <w:t xml:space="preserve">“declare identity, then collect data against it.”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 — sampling anticipated</w:t>
            </w:r>
          </w:p>
        </w:tc>
        <w:tc>
          <w:tcPr/>
          <w:p>
            <w:pPr>
              <w:pStyle w:val="Compact"/>
            </w:pPr>
            <w:r>
              <w:t xml:space="preserve">A staffer clicks</w:t>
            </w:r>
            <w:r>
              <w:t xml:space="preserve"> </w:t>
            </w:r>
            <w:r>
              <w:rPr>
                <w:i/>
                <w:iCs/>
              </w:rPr>
              <w:t xml:space="preserve">Start a sampling event</w:t>
            </w:r>
            <w:r>
              <w:t xml:space="preserve">. The system mints the SEC and produces a pre-stamped field packet — CoC header, labels, QR — carrying the SEC, region, and water body if known. Party and analyses left blank.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Samples are labeled with the SEC; the CoC is pre-filled with it. Splits to different labs carry the same SEC plus a short sample suffix, so the fragments stay a family.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Laboratory</w:t>
            </w:r>
          </w:p>
        </w:tc>
        <w:tc>
          <w:tcPr/>
          <w:p>
            <w:pPr>
              <w:pStyle w:val="Compact"/>
            </w:pPr>
            <w:r>
              <w:t xml:space="preserve">The SEC rides the submission and is</w:t>
            </w:r>
            <w:r>
              <w:t xml:space="preserve"> </w:t>
            </w:r>
            <w:r>
              <w:rPr>
                <w:b/>
                <w:bCs/>
              </w:rPr>
              <w:t xml:space="preserve">required back</w:t>
            </w:r>
            <w:r>
              <w:t xml:space="preserve"> </w:t>
            </w:r>
            <w:r>
              <w:t xml:space="preserve">on the deliverable — a field, or a filename convention. A one-line ask in a lab contract or SOP.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1 week later</w:t>
            </w:r>
          </w:p>
        </w:tc>
        <w:tc>
          <w:tcPr/>
          <w:p>
            <w:pPr>
              <w:pStyle w:val="Compact"/>
            </w:pPr>
            <w:r>
              <w:t xml:space="preserve">Ingest matches on the SEC and auto-links every sample and result to the pre-registered event — and thus the case. Anything without a code falls to the workboard reconciler as the</w:t>
            </w:r>
            <w:r>
              <w:t xml:space="preserve"> </w:t>
            </w:r>
            <w:r>
              <w:rPr>
                <w:b/>
                <w:bCs/>
              </w:rPr>
              <w:t xml:space="preserve">exception</w:t>
            </w:r>
            <w:r>
              <w:t xml:space="preserve">, not the default.</w:t>
            </w:r>
          </w:p>
        </w:tc>
      </w:tr>
    </w:tbl>
    <w:p>
      <w:pPr>
        <w:pStyle w:val="BlockText"/>
      </w:pPr>
      <w:r>
        <w:t xml:space="preserve">Move the identifier to the front of the timeline, and the reconciliation work that consumes</w:t>
      </w:r>
      <w:r>
        <w:t xml:space="preserve"> </w:t>
      </w:r>
      <w:r>
        <w:t xml:space="preserve">staff months mostly disappears — because it never has to happen.</w:t>
      </w:r>
    </w:p>
    <w:bookmarkEnd w:id="20"/>
    <w:bookmarkStart w:id="21" w:name="most-of-the-machinery-already-exists"/>
    <w:p>
      <w:pPr>
        <w:pStyle w:val="Heading2"/>
      </w:pPr>
      <w:r>
        <w:t xml:space="preserve">Most of the machinery already exists</w:t>
      </w:r>
    </w:p>
    <w:p>
      <w:pPr>
        <w:pStyle w:val="FirstParagraph"/>
      </w:pPr>
      <w:r>
        <w:t xml:space="preserve">This is an increment on what’s built, not a rebuild: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Role in the SEC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 Event batch +</w:t>
            </w:r>
            <w:r>
              <w:t xml:space="preserve"> </w:t>
            </w:r>
            <w:r>
              <w:rPr>
                <w:rStyle w:val="VerbatimChar"/>
              </w:rPr>
              <w:t xml:space="preserve">Sampling_Event_ID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Becomes the record the SEC pre-registers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Reserved id range (≥ 1e9)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Mints SECs that never collide with published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 registry (shared codes)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Common location vocabulary for field &amp; labs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Workboard reconciler (2 km / ±14 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Fallback for uncoded / legacy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detect &amp; merge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Trivial once an SEC is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 &amp; row-level audit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Every SEC-linked ingest is attributable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Pre-issued SEC + printable field packet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 add</w:t>
            </w:r>
          </w:p>
        </w:tc>
        <w:tc>
          <w:tcPr/>
          <w:p>
            <w:pPr>
              <w:pStyle w:val="Compact"/>
            </w:pPr>
            <w:r>
              <w:t xml:space="preserve">The front door of the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deliverable template +</w:t>
            </w:r>
            <w:r>
              <w:t xml:space="preserve"> </w:t>
            </w:r>
            <w:r>
              <w:t xml:space="preserve">“return the code”</w:t>
            </w:r>
            <w:r>
              <w:t xml:space="preserve"> </w:t>
            </w:r>
            <w:r>
              <w:t xml:space="preserve">clause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 add</w:t>
            </w:r>
          </w:p>
        </w:tc>
        <w:tc>
          <w:tcPr/>
          <w:p>
            <w:pPr>
              <w:pStyle w:val="Compact"/>
            </w:pPr>
            <w:r>
              <w:t xml:space="preserve">Guarantees the code comes 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 auto-match on ingest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 add</w:t>
            </w:r>
          </w:p>
        </w:tc>
        <w:tc>
          <w:tcPr/>
          <w:p>
            <w:pPr>
              <w:pStyle w:val="Compact"/>
            </w:pPr>
            <w:r>
              <w:t xml:space="preserve">Turns linking into a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labels / mobile CoC capture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Later</w:t>
            </w:r>
          </w:p>
        </w:tc>
        <w:tc>
          <w:tcPr/>
          <w:p>
            <w:pPr>
              <w:pStyle w:val="Compact"/>
            </w:pPr>
            <w:r>
              <w:t xml:space="preserve">Removes hand-transcription entirely</w:t>
            </w:r>
          </w:p>
        </w:tc>
      </w:tr>
    </w:tbl>
    <w:bookmarkEnd w:id="21"/>
    <w:bookmarkStart w:id="22" w:name="habits-that-make-the-code-stick"/>
    <w:p>
      <w:pPr>
        <w:pStyle w:val="Heading2"/>
      </w:pPr>
      <w:r>
        <w:t xml:space="preserve">Habits that make the code stick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code, every communication</w:t>
      </w:r>
      <w:r>
        <w:t xml:space="preserve"> </w:t>
      </w:r>
      <w:r>
        <w:t xml:space="preserve">— CoC, sample order, lab deliverable, folder and file names,</w:t>
      </w:r>
      <w:r>
        <w:t xml:space="preserve"> </w:t>
      </w:r>
      <w:r>
        <w:t xml:space="preserve">plus a scannable QR for one-tap linking.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Standardize the deliverable</w:t>
      </w:r>
      <w:r>
        <w:t xml:space="preserve"> </w:t>
      </w:r>
      <w:r>
        <w:t xml:space="preserve">— ask labs for a CEDEN-aligned electronic file carrying the SEC</w:t>
      </w:r>
      <w:r>
        <w:t xml:space="preserve"> </w:t>
      </w:r>
      <w:r>
        <w:t xml:space="preserve">and station code, instead of a PDF to transcribe. Provide a template; make it the default in</w:t>
      </w:r>
      <w:r>
        <w:t xml:space="preserve"> </w:t>
      </w:r>
      <w:r>
        <w:t xml:space="preserve">agreements.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Capture the CoC as data at T0</w:t>
      </w:r>
      <w:r>
        <w:t xml:space="preserve"> </w:t>
      </w:r>
      <w:r>
        <w:t xml:space="preserve">— a mobile CoC form stamped with the SEC makes the</w:t>
      </w:r>
      <w:r>
        <w:t xml:space="preserve"> </w:t>
      </w:r>
      <w:r>
        <w:t xml:space="preserve">authoritative location and date digital from minute one, ending the rotated-PDF-and-retype</w:t>
      </w:r>
      <w:r>
        <w:t xml:space="preserve"> </w:t>
      </w:r>
      <w:r>
        <w:t xml:space="preserve">problem.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Share the station registry</w:t>
      </w:r>
      <w:r>
        <w:t xml:space="preserve"> </w:t>
      </w:r>
      <w:r>
        <w:t xml:space="preserve">— when field crews and labs draw codes from the same list,</w:t>
      </w:r>
      <w:r>
        <w:t xml:space="preserve"> </w:t>
      </w:r>
      <w:r>
        <w:t xml:space="preserve">locations line up by construction.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Keep the reconciler forever</w:t>
      </w:r>
      <w:r>
        <w:t xml:space="preserve"> </w:t>
      </w:r>
      <w:r>
        <w:t xml:space="preserve">— legacy folders and the occasional un-coded submission always</w:t>
      </w:r>
      <w:r>
        <w:t xml:space="preserve"> </w:t>
      </w:r>
      <w:r>
        <w:t xml:space="preserve">exist; the heuristic matcher stays the safety net beneath the code.</w:t>
      </w:r>
    </w:p>
    <w:bookmarkEnd w:id="22"/>
    <w:bookmarkStart w:id="23" w:name="getting-there-a-phased-rollout"/>
    <w:p>
      <w:pPr>
        <w:pStyle w:val="Heading2"/>
      </w:pPr>
      <w:r>
        <w:t xml:space="preserve">Getting there — a phased rollout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Mint &amp; match (now).</w:t>
      </w:r>
      <w:r>
        <w:t xml:space="preserve"> </w:t>
      </w:r>
      <w:r>
        <w:t xml:space="preserve">Generate the SEC in the app, print it on a CoC cover sheet and sample</w:t>
      </w:r>
      <w:r>
        <w:t xml:space="preserve"> </w:t>
      </w:r>
      <w:r>
        <w:t xml:space="preserve">labels, ask labs to return it, and auto-link on a match at ingest. Uses the sampling-event</w:t>
      </w:r>
      <w:r>
        <w:t xml:space="preserve"> </w:t>
      </w:r>
      <w:r>
        <w:t xml:space="preserve">batch and reconciler that already exist — no field hardware.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Scan &amp; standardize.</w:t>
      </w:r>
      <w:r>
        <w:t xml:space="preserve"> </w:t>
      </w:r>
      <w:r>
        <w:t xml:space="preserve">QR labels and a mobile CoC form for digital capture at T0, plus a</w:t>
      </w:r>
      <w:r>
        <w:t xml:space="preserve"> </w:t>
      </w:r>
      <w:r>
        <w:t xml:space="preserve">CEDEN-aligned deliverable template so results arrive machine-ready.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 submission.</w:t>
      </w:r>
      <w:r>
        <w:t xml:space="preserve"> </w:t>
      </w:r>
      <w:r>
        <w:t xml:space="preserve">A portal or API for partners and labs to submit deliverables keyed by</w:t>
      </w:r>
      <w:r>
        <w:t xml:space="preserve"> </w:t>
      </w:r>
      <w:r>
        <w:t xml:space="preserve">SEC — field to public data with no manual hop.</w:t>
      </w:r>
    </w:p>
    <w:bookmarkEnd w:id="23"/>
    <w:bookmarkStart w:id="27" w:name="honest-limits"/>
    <w:p>
      <w:pPr>
        <w:pStyle w:val="Heading2"/>
      </w:pPr>
      <w:r>
        <w:t xml:space="preserve">Honest limits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Adoption depends on people using the code.</w:t>
      </w:r>
      <w:r>
        <w:t xml:space="preserve"> </w:t>
      </w:r>
      <w:r>
        <w:t xml:space="preserve">Make it the path of least resistance —</w:t>
      </w:r>
      <w:r>
        <w:t xml:space="preserve"> </w:t>
      </w:r>
      <w:r>
        <w:t xml:space="preserve">pre-printed packets, a one-click issue button, a</w:t>
      </w:r>
      <w:r>
        <w:t xml:space="preserve"> </w:t>
      </w:r>
      <w:r>
        <w:t xml:space="preserve">“return the code”</w:t>
      </w:r>
      <w:r>
        <w:t xml:space="preserve"> </w:t>
      </w:r>
      <w:r>
        <w:t xml:space="preserve">clause in lab agreements —</w:t>
      </w:r>
      <w:r>
        <w:t xml:space="preserve"> </w:t>
      </w:r>
      <w:r>
        <w:t xml:space="preserve">with the reconciler catching whatever slips through.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Parties who don’t coordinate.</w:t>
      </w:r>
      <w:r>
        <w:t xml:space="preserve"> </w:t>
      </w:r>
      <w:r>
        <w:t xml:space="preserve">Whoever opens the incident issues and shares the SEC; where</w:t>
      </w:r>
      <w:r>
        <w:t xml:space="preserve"> </w:t>
      </w:r>
      <w:r>
        <w:t xml:space="preserve">several parties sample independently, each event gets its own SEC and all reconcile cleanly</w:t>
      </w:r>
      <w:r>
        <w:t xml:space="preserve"> </w:t>
      </w:r>
      <w:r>
        <w:t xml:space="preserve">under one case.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Legacy data.</w:t>
      </w:r>
      <w:r>
        <w:t xml:space="preserve"> </w:t>
      </w:r>
      <w:r>
        <w:t xml:space="preserve">Everything already in folders keeps flowing through the existing matcher; the</w:t>
      </w:r>
      <w:r>
        <w:t xml:space="preserve"> </w:t>
      </w:r>
      <w:r>
        <w:t xml:space="preserve">SEC changes the future, not the past.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Recommendation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Adopt the</w:t>
            </w:r>
            <w:r>
              <w:t xml:space="preserve"> </w:t>
            </w:r>
            <w:r>
              <w:rPr>
                <w:b/>
                <w:bCs/>
              </w:rPr>
              <w:t xml:space="preserve">Sampling Event Code</w:t>
            </w:r>
            <w:r>
              <w:t xml:space="preserve"> </w:t>
            </w:r>
            <w:r>
              <w:t xml:space="preserve">as the linking spine: pre-register every sampling event and push</w:t>
            </w:r>
            <w:r>
              <w:t xml:space="preserve"> </w:t>
            </w:r>
            <w:r>
              <w:t xml:space="preserve">its code upstream to the field and the labs; standardize the electronic deliverable so the code</w:t>
            </w:r>
            <w:r>
              <w:t xml:space="preserve"> </w:t>
            </w:r>
            <w:r>
              <w:t xml:space="preserve">comes home; keep heuristic reconciliation as the exception path. The database is already built for</w:t>
            </w:r>
            <w:r>
              <w:t xml:space="preserve"> </w:t>
            </w:r>
            <w:r>
              <w:t xml:space="preserve">it — the SEC just captures, at the one moment every party shares, the small piece of information</w:t>
            </w:r>
            <w:r>
              <w:t xml:space="preserve"> </w:t>
            </w:r>
            <w:r>
              <w:t xml:space="preserve">we currently spend months trying to recover.</w:t>
            </w:r>
          </w:p>
          <w:p/>
        </w:tc>
      </w:tr>
    </w:tbl>
    <w:bookmarkEnd w:id="27"/>
    <w:bookmarkStart w:id="46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Resources for the team to dive deeper. Each note says</w:t>
      </w:r>
      <w:r>
        <w:t xml:space="preserve"> </w:t>
      </w:r>
      <w:r>
        <w:rPr>
          <w:i/>
          <w:iCs/>
        </w:rPr>
        <w:t xml:space="preserve">why it’s relevant to linking lab data</w:t>
      </w:r>
      <w:r>
        <w:t xml:space="preserve">.</w:t>
      </w:r>
    </w:p>
    <w:bookmarkStart w:id="33" w:name="california-program-data-standards"/>
    <w:p>
      <w:pPr>
        <w:pStyle w:val="Heading3"/>
      </w:pPr>
      <w:r>
        <w:t xml:space="preserve">California program &amp; data standards</w:t>
      </w:r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Hyperlink"/>
          </w:rPr>
          <w:t xml:space="preserve">California Harmful Algal Blooms (HABs) Portal</w:t>
        </w:r>
      </w:hyperlink>
      <w:r>
        <w:t xml:space="preserve"> </w:t>
      </w:r>
      <w:r>
        <w:t xml:space="preserve">— the</w:t>
      </w:r>
      <w:r>
        <w:t xml:space="preserve"> </w:t>
      </w:r>
      <w:r>
        <w:t xml:space="preserve">statewide program hub this system supports.</w:t>
      </w:r>
    </w:p>
    <w:p>
      <w:pPr>
        <w:pStyle w:val="Compact"/>
        <w:numPr>
          <w:ilvl w:val="0"/>
          <w:numId w:val="1006"/>
        </w:numPr>
      </w:pPr>
      <w:hyperlink r:id="rId29">
        <w:r>
          <w:rPr>
            <w:rStyle w:val="Hyperlink"/>
          </w:rPr>
          <w:t xml:space="preserve">CCHAB Network &amp; Voluntary Guidance</w:t>
        </w:r>
      </w:hyperlink>
      <w:r>
        <w:t xml:space="preserve"> </w:t>
      </w:r>
      <w:r>
        <w:t xml:space="preserve">— the recreational</w:t>
      </w:r>
      <w:r>
        <w:t xml:space="preserve"> </w:t>
      </w:r>
      <w:r>
        <w:t xml:space="preserve">HAB response framework and the</w:t>
      </w:r>
      <w:r>
        <w:t xml:space="preserve"> </w:t>
      </w:r>
      <w:r>
        <w:rPr>
          <w:b/>
          <w:bCs/>
        </w:rPr>
        <w:t xml:space="preserve">cyanotoxin trigger levels</w:t>
      </w:r>
      <w:r>
        <w:t xml:space="preserve"> </w:t>
      </w:r>
      <w:r>
        <w:t xml:space="preserve">used to colour the Lab data map</w:t>
      </w:r>
      <w:r>
        <w:t xml:space="preserve"> </w:t>
      </w:r>
      <w:r>
        <w:t xml:space="preserve">(Microcystins 0.8 / 6 / 20 µg/L, etc.).</w:t>
      </w:r>
    </w:p>
    <w:p>
      <w:pPr>
        <w:pStyle w:val="Compact"/>
        <w:numPr>
          <w:ilvl w:val="0"/>
          <w:numId w:val="1006"/>
        </w:numPr>
      </w:pPr>
      <w:hyperlink r:id="rId30">
        <w:r>
          <w:rPr>
            <w:rStyle w:val="Hyperlink"/>
          </w:rPr>
          <w:t xml:space="preserve">SWAMP Freshwater CyanoHABs Program</w:t>
        </w:r>
      </w:hyperlink>
      <w:r>
        <w:t xml:space="preserve"> </w:t>
      </w:r>
      <w:r>
        <w:t xml:space="preserve">— the Water Boards monitoring program context.</w:t>
      </w:r>
    </w:p>
    <w:p>
      <w:pPr>
        <w:pStyle w:val="Compact"/>
        <w:numPr>
          <w:ilvl w:val="0"/>
          <w:numId w:val="1006"/>
        </w:numPr>
      </w:pPr>
      <w:hyperlink r:id="rId31">
        <w:r>
          <w:rPr>
            <w:rStyle w:val="Hyperlink"/>
          </w:rPr>
          <w:t xml:space="preserve">CEDEN — California Environmental Data Exchange Network</w:t>
        </w:r>
      </w:hyperlink>
      <w:r>
        <w:t xml:space="preserve"> </w:t>
      </w:r>
      <w:r>
        <w:t xml:space="preserve">— the</w:t>
      </w:r>
      <w:r>
        <w:t xml:space="preserve"> </w:t>
      </w:r>
      <w:r>
        <w:t xml:space="preserve">state exchange our lab chemistry is shaped to; the natural home for a standardized deliverable.</w:t>
      </w:r>
    </w:p>
    <w:p>
      <w:pPr>
        <w:pStyle w:val="Compact"/>
        <w:numPr>
          <w:ilvl w:val="0"/>
          <w:numId w:val="1006"/>
        </w:numPr>
      </w:pPr>
      <w:hyperlink r:id="rId32">
        <w:r>
          <w:rPr>
            <w:rStyle w:val="Hyperlink"/>
          </w:rPr>
          <w:t xml:space="preserve">CEDEN data templates &amp; business rules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the electronic data deliverable (EDD) a</w:t>
      </w:r>
      <w:r>
        <w:t xml:space="preserve"> </w:t>
      </w:r>
      <w:r>
        <w:rPr>
          <w:i/>
          <w:iCs/>
        </w:rPr>
        <w:t xml:space="preserve">“return the SEC”</w:t>
      </w:r>
      <w:r>
        <w:t xml:space="preserve"> </w:t>
      </w:r>
      <w:r>
        <w:t xml:space="preserve">field would extend. Its</w:t>
      </w:r>
      <w:r>
        <w:t xml:space="preserve"> </w:t>
      </w:r>
      <w:r>
        <w:rPr>
          <w:b/>
          <w:bCs/>
        </w:rPr>
        <w:t xml:space="preserve">Chemistry</w:t>
      </w:r>
      <w:r>
        <w:rPr>
          <w:b/>
          <w:bCs/>
        </w:rPr>
        <w:t xml:space="preserve"> </w:t>
      </w:r>
      <w:r>
        <w:rPr>
          <w:b/>
          <w:bCs/>
        </w:rPr>
        <w:t xml:space="preserve">template</w:t>
      </w:r>
      <w:r>
        <w:t xml:space="preserve"> </w:t>
      </w:r>
      <w:r>
        <w:t xml:space="preserve">is exactly the format the ingest workflow expects.</w:t>
      </w:r>
    </w:p>
    <w:bookmarkEnd w:id="33"/>
    <w:bookmarkStart w:id="37" w:name="X01c91ec507b8fd732a6af4cc05a8421d00ecc8f"/>
    <w:p>
      <w:pPr>
        <w:pStyle w:val="Heading3"/>
      </w:pPr>
      <w:r>
        <w:t xml:space="preserve">National water-data exchange — align the SEC with these</w:t>
      </w:r>
    </w:p>
    <w:p>
      <w:pPr>
        <w:pStyle w:val="Compact"/>
        <w:numPr>
          <w:ilvl w:val="0"/>
          <w:numId w:val="1007"/>
        </w:numPr>
      </w:pPr>
      <w:hyperlink r:id="rId34">
        <w:r>
          <w:rPr>
            <w:rStyle w:val="Hyperlink"/>
          </w:rPr>
          <w:t xml:space="preserve">EPA Water Quality Exchange (WQX) / Water Quality Data</w:t>
        </w:r>
      </w:hyperlink>
      <w:r>
        <w:t xml:space="preserve"> </w:t>
      </w:r>
      <w:r>
        <w:t xml:space="preserve">— the national submission standard. Note its</w:t>
      </w:r>
      <w:r>
        <w:t xml:space="preserve"> </w:t>
      </w:r>
      <w:r>
        <w:rPr>
          <w:b/>
          <w:bCs/>
        </w:rPr>
        <w:t xml:space="preserve">Activity ID</w:t>
      </w:r>
      <w:r>
        <w:t xml:space="preserve">,</w:t>
      </w:r>
      <w:r>
        <w:t xml:space="preserve"> </w:t>
      </w:r>
      <w:r>
        <w:rPr>
          <w:b/>
          <w:bCs/>
        </w:rPr>
        <w:t xml:space="preserve">Project ID</w:t>
      </w:r>
      <w:r>
        <w:t xml:space="preserve">, and</w:t>
      </w:r>
      <w:r>
        <w:t xml:space="preserve"> </w:t>
      </w:r>
      <w:r>
        <w:rPr>
          <w:b/>
          <w:bCs/>
        </w:rPr>
        <w:t xml:space="preserve">Monitoring</w:t>
      </w:r>
      <w:r>
        <w:rPr>
          <w:b/>
          <w:bCs/>
        </w:rPr>
        <w:t xml:space="preserve"> </w:t>
      </w:r>
      <w:r>
        <w:rPr>
          <w:b/>
          <w:bCs/>
        </w:rPr>
        <w:t xml:space="preserve">Location ID</w:t>
      </w:r>
      <w:r>
        <w:t xml:space="preserve">: the SEC essentially plays the role of a program-issued</w:t>
      </w:r>
      <w:r>
        <w:t xml:space="preserve"> </w:t>
      </w:r>
      <w:r>
        <w:rPr>
          <w:i/>
          <w:iCs/>
        </w:rPr>
        <w:t xml:space="preserve">Project/Activity</w:t>
      </w:r>
      <w:r>
        <w:t xml:space="preserve"> </w:t>
      </w:r>
      <w:r>
        <w:t xml:space="preserve">identifier, so aligning with WQX keeps us interoperable.</w:t>
      </w:r>
    </w:p>
    <w:p>
      <w:pPr>
        <w:pStyle w:val="Compact"/>
        <w:numPr>
          <w:ilvl w:val="0"/>
          <w:numId w:val="1007"/>
        </w:numPr>
      </w:pPr>
      <w:hyperlink r:id="rId35">
        <w:r>
          <w:rPr>
            <w:rStyle w:val="Hyperlink"/>
          </w:rPr>
          <w:t xml:space="preserve">WQX Web template files</w:t>
        </w:r>
      </w:hyperlink>
      <w:r>
        <w:t xml:space="preserve"> </w:t>
      </w:r>
      <w:r>
        <w:t xml:space="preserve">— concrete templates that show how those identifiers travel with results.</w:t>
      </w:r>
    </w:p>
    <w:p>
      <w:pPr>
        <w:pStyle w:val="Compact"/>
        <w:numPr>
          <w:ilvl w:val="0"/>
          <w:numId w:val="1007"/>
        </w:numPr>
      </w:pPr>
      <w:hyperlink r:id="rId36">
        <w:r>
          <w:rPr>
            <w:rStyle w:val="Hyperlink"/>
          </w:rPr>
          <w:t xml:space="preserve">Water Quality Portal (USGS + EPA)</w:t>
        </w:r>
      </w:hyperlink>
      <w:r>
        <w:t xml:space="preserve"> </w:t>
      </w:r>
      <w:r>
        <w:t xml:space="preserve">— the national discovery</w:t>
      </w:r>
      <w:r>
        <w:t xml:space="preserve"> </w:t>
      </w:r>
      <w:r>
        <w:t xml:space="preserve">portal our published open data ultimately feeds.</w:t>
      </w:r>
    </w:p>
    <w:bookmarkEnd w:id="37"/>
    <w:bookmarkStart w:id="43" w:name="X1a08da8b5dcd16fd8046bd0ed8b314c3bdcb7f4"/>
    <w:p>
      <w:pPr>
        <w:pStyle w:val="Heading3"/>
      </w:pPr>
      <w:r>
        <w:t xml:space="preserve">Persistent identifiers — the precedent for issuing an ID at sampling time</w:t>
      </w:r>
    </w:p>
    <w:p>
      <w:pPr>
        <w:pStyle w:val="Compact"/>
        <w:numPr>
          <w:ilvl w:val="0"/>
          <w:numId w:val="1008"/>
        </w:numPr>
      </w:pPr>
      <w:hyperlink r:id="rId38">
        <w:r>
          <w:rPr>
            <w:rStyle w:val="Hyperlink"/>
          </w:rPr>
          <w:t xml:space="preserve">IGSN / SESAR — persistent identifiers for physical samples</w:t>
        </w:r>
      </w:hyperlink>
      <w:r>
        <w:t xml:space="preserve"> </w:t>
      </w:r>
      <w:r>
        <w:t xml:space="preserve">— the</w:t>
      </w:r>
      <w:r>
        <w:t xml:space="preserve"> </w:t>
      </w:r>
      <w:r>
        <w:t xml:space="preserve">closest real-world analog to the Sampling Event Code: a</w:t>
      </w:r>
      <w:r>
        <w:t xml:space="preserve"> </w:t>
      </w:r>
      <w:r>
        <w:rPr>
          <w:b/>
          <w:bCs/>
        </w:rPr>
        <w:t xml:space="preserve">globally unique ID registered when a</w:t>
      </w:r>
      <w:r>
        <w:rPr>
          <w:b/>
          <w:bCs/>
        </w:rPr>
        <w:t xml:space="preserve"> </w:t>
      </w:r>
      <w:r>
        <w:rPr>
          <w:b/>
          <w:bCs/>
        </w:rPr>
        <w:t xml:space="preserve">physical sample is collected</w:t>
      </w:r>
      <w:r>
        <w:t xml:space="preserve"> </w:t>
      </w:r>
      <w:r>
        <w:t xml:space="preserve">(now issued via</w:t>
      </w:r>
      <w:r>
        <w:t xml:space="preserve"> </w:t>
      </w:r>
      <w:hyperlink r:id="rId39">
        <w:r>
          <w:rPr>
            <w:rStyle w:val="Hyperlink"/>
          </w:rPr>
          <w:t xml:space="preserve">DataCite</w:t>
        </w:r>
      </w:hyperlink>
      <w:r>
        <w:t xml:space="preserve">). The same idea,</w:t>
      </w:r>
      <w:r>
        <w:t xml:space="preserve"> </w:t>
      </w:r>
      <w:r>
        <w:t xml:space="preserve">applied to a bloom incident’s sampling effort.</w:t>
      </w:r>
    </w:p>
    <w:p>
      <w:pPr>
        <w:pStyle w:val="Compact"/>
        <w:numPr>
          <w:ilvl w:val="0"/>
          <w:numId w:val="1008"/>
        </w:numPr>
      </w:pPr>
      <w:hyperlink r:id="rId40">
        <w:r>
          <w:rPr>
            <w:rStyle w:val="Hyperlink"/>
          </w:rPr>
          <w:t xml:space="preserve">GeoConnex (Internet of Water)</w:t>
        </w:r>
      </w:hyperlink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docs</w:t>
        </w:r>
      </w:hyperlink>
      <w:r>
        <w:t xml:space="preserve">) —</w:t>
      </w:r>
      <w:r>
        <w:t xml:space="preserve"> </w:t>
      </w:r>
      <w:r>
        <w:t xml:space="preserve">persistent identifiers for hydrologic features (rivers, watersheds, monitoring sites); already</w:t>
      </w:r>
      <w:r>
        <w:t xml:space="preserve"> </w:t>
      </w:r>
      <w:r>
        <w:t xml:space="preserve">used in FHAB for station and watershed URIs.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USGS Watershed Boundary Dataset (HUC-12)</w:t>
        </w:r>
      </w:hyperlink>
      <w:r>
        <w:t xml:space="preserve"> </w:t>
      </w:r>
      <w:r>
        <w:t xml:space="preserve">— the authoritative watershed layer behind the crosswalk’s HUC12 assignment.</w:t>
      </w:r>
    </w:p>
    <w:bookmarkEnd w:id="43"/>
    <w:bookmarkStart w:id="45" w:name="data-management-principle"/>
    <w:p>
      <w:pPr>
        <w:pStyle w:val="Heading3"/>
      </w:pPr>
      <w:r>
        <w:t xml:space="preserve">Data-management principle</w:t>
      </w:r>
    </w:p>
    <w:p>
      <w:pPr>
        <w:pStyle w:val="Compact"/>
        <w:numPr>
          <w:ilvl w:val="0"/>
          <w:numId w:val="1009"/>
        </w:numPr>
      </w:pPr>
      <w:hyperlink r:id="rId44">
        <w:r>
          <w:rPr>
            <w:rStyle w:val="Hyperlink"/>
          </w:rPr>
          <w:t xml:space="preserve">FAIR data principles</w:t>
        </w:r>
      </w:hyperlink>
      <w:r>
        <w:t xml:space="preserve"> </w:t>
      </w:r>
      <w:r>
        <w:t xml:space="preserve">— Findable, Accessible,</w:t>
      </w:r>
      <w:r>
        <w:t xml:space="preserve"> </w:t>
      </w:r>
      <w:r>
        <w:t xml:space="preserve">Interoperable, Reusable. The SEC is, in effect, the tactic that makes a result</w:t>
      </w:r>
      <w:r>
        <w:t xml:space="preserve"> </w:t>
      </w:r>
      <w:r>
        <w:rPr>
          <w:b/>
          <w:bCs/>
        </w:rPr>
        <w:t xml:space="preserve">Findable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Interoperable</w:t>
      </w:r>
      <w:r>
        <w:t xml:space="preserve"> </w:t>
      </w:r>
      <w:r>
        <w:t xml:space="preserve">by construction instead of by reconciliation.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hyperlink" Id="rId13" Target="feedback.qmd" TargetMode="External" /><Relationship Type="http://schemas.openxmlformats.org/officeDocument/2006/relationships/hyperlink" Id="rId31" Target="https://ceden.waterboards.ca.gov/" TargetMode="External" /><Relationship Type="http://schemas.openxmlformats.org/officeDocument/2006/relationships/hyperlink" Id="rId32" Target="https://ceden.waterboards.ca.gov/data-templates.html" TargetMode="External" /><Relationship Type="http://schemas.openxmlformats.org/officeDocument/2006/relationships/hyperlink" Id="rId39" Target="https://datacite.org/" TargetMode="External" /><Relationship Type="http://schemas.openxmlformats.org/officeDocument/2006/relationships/hyperlink" Id="rId41" Target="https://docs.geoconnex.us/" TargetMode="External" /><Relationship Type="http://schemas.openxmlformats.org/officeDocument/2006/relationships/hyperlink" Id="rId40" Target="https://geoconnex.us/" TargetMode="External" /><Relationship Type="http://schemas.openxmlformats.org/officeDocument/2006/relationships/hyperlink" Id="rId29" Target="https://mywaterquality.ca.gov/cyanohab/" TargetMode="External" /><Relationship Type="http://schemas.openxmlformats.org/officeDocument/2006/relationships/hyperlink" Id="rId28" Target="https://mywaterquality.ca.gov/habs/" TargetMode="External" /><Relationship Type="http://schemas.openxmlformats.org/officeDocument/2006/relationships/hyperlink" Id="rId34" Target="https://www.epa.gov/waterdata/water-quality-data" TargetMode="External" /><Relationship Type="http://schemas.openxmlformats.org/officeDocument/2006/relationships/hyperlink" Id="rId35" Target="https://www.epa.gov/waterdata/water-quality-exchange-web-template-files" TargetMode="External" /><Relationship Type="http://schemas.openxmlformats.org/officeDocument/2006/relationships/hyperlink" Id="rId38" Target="https://www.geosamples.org/" TargetMode="External" /><Relationship Type="http://schemas.openxmlformats.org/officeDocument/2006/relationships/hyperlink" Id="rId44" Target="https://www.go-fair.org/fair-principles/" TargetMode="External" /><Relationship Type="http://schemas.openxmlformats.org/officeDocument/2006/relationships/hyperlink" Id="rId42" Target="https://www.usgs.gov/national-hydrography/watershed-boundary-dataset" TargetMode="External" /><Relationship Type="http://schemas.openxmlformats.org/officeDocument/2006/relationships/hyperlink" Id="rId30" Target="https://www.waterboards.ca.gov/water_issues/programs/swamp/freshwater_cyanobacteria.html" TargetMode="External" /><Relationship Type="http://schemas.openxmlformats.org/officeDocument/2006/relationships/hyperlink" Id="rId36" Target="https://www.waterqualitydata.us/" TargetMode="External" /><Relationship Type="http://schemas.openxmlformats.org/officeDocument/2006/relationships/hyperlink" Id="rId9" Target="lab-ingest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eedback.qmd" TargetMode="External" /><Relationship Type="http://schemas.openxmlformats.org/officeDocument/2006/relationships/hyperlink" Id="rId31" Target="https://ceden.waterboards.ca.gov/" TargetMode="External" /><Relationship Type="http://schemas.openxmlformats.org/officeDocument/2006/relationships/hyperlink" Id="rId32" Target="https://ceden.waterboards.ca.gov/data-templates.html" TargetMode="External" /><Relationship Type="http://schemas.openxmlformats.org/officeDocument/2006/relationships/hyperlink" Id="rId39" Target="https://datacite.org/" TargetMode="External" /><Relationship Type="http://schemas.openxmlformats.org/officeDocument/2006/relationships/hyperlink" Id="rId41" Target="https://docs.geoconnex.us/" TargetMode="External" /><Relationship Type="http://schemas.openxmlformats.org/officeDocument/2006/relationships/hyperlink" Id="rId40" Target="https://geoconnex.us/" TargetMode="External" /><Relationship Type="http://schemas.openxmlformats.org/officeDocument/2006/relationships/hyperlink" Id="rId29" Target="https://mywaterquality.ca.gov/cyanohab/" TargetMode="External" /><Relationship Type="http://schemas.openxmlformats.org/officeDocument/2006/relationships/hyperlink" Id="rId28" Target="https://mywaterquality.ca.gov/habs/" TargetMode="External" /><Relationship Type="http://schemas.openxmlformats.org/officeDocument/2006/relationships/hyperlink" Id="rId34" Target="https://www.epa.gov/waterdata/water-quality-data" TargetMode="External" /><Relationship Type="http://schemas.openxmlformats.org/officeDocument/2006/relationships/hyperlink" Id="rId35" Target="https://www.epa.gov/waterdata/water-quality-exchange-web-template-files" TargetMode="External" /><Relationship Type="http://schemas.openxmlformats.org/officeDocument/2006/relationships/hyperlink" Id="rId38" Target="https://www.geosamples.org/" TargetMode="External" /><Relationship Type="http://schemas.openxmlformats.org/officeDocument/2006/relationships/hyperlink" Id="rId44" Target="https://www.go-fair.org/fair-principles/" TargetMode="External" /><Relationship Type="http://schemas.openxmlformats.org/officeDocument/2006/relationships/hyperlink" Id="rId42" Target="https://www.usgs.gov/national-hydrography/watershed-boundary-dataset" TargetMode="External" /><Relationship Type="http://schemas.openxmlformats.org/officeDocument/2006/relationships/hyperlink" Id="rId30" Target="https://www.waterboards.ca.gov/water_issues/programs/swamp/freshwater_cyanobacteria.html" TargetMode="External" /><Relationship Type="http://schemas.openxmlformats.org/officeDocument/2006/relationships/hyperlink" Id="rId36" Target="https://www.waterqualitydata.us/" TargetMode="External" /><Relationship Type="http://schemas.openxmlformats.org/officeDocument/2006/relationships/hyperlink" Id="rId9" Target="lab-ingest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Linking lab data by design</dc:title>
  <dc:creator/>
  <cp:keywords/>
  <dcterms:created xsi:type="dcterms:W3CDTF">2026-09-10T20:35:15Z</dcterms:created>
  <dcterms:modified xsi:type="dcterms:W3CDTF">2026-09-10T20:35:15Z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A sampling-provenance proposal for future incidents</vt:lpwstr>
  </property>
  <property fmtid="{D5CDD505-2E9C-101B-9397-08002B2CF9AE}" pid="8" name="toc-title">
    <vt:lpwstr>Table of contents</vt:lpwstr>
  </property>
</Properties>
</file>