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b/>
          <w:color w:val="1F7A4D"/>
          <w:sz w:val="52"/>
        </w:rPr>
        <w:t xml:space="preserve">FHAB Database Modernized</w:t>
      </w:r>
    </w:p>
    <w:p>
      <w:pPr>
        <w:spacing w:after="240"/>
      </w:pPr>
      <w:r>
        <w:rPr>
          <w:color w:val="5B6B65"/>
          <w:sz w:val="28"/>
        </w:rPr>
        <w:t xml:space="preserve">Tester Onboarding Guide  —  Pilot / Testing</w:t>
      </w:r>
    </w:p>
    <w:p>
      <w:pPr>
        <w:spacing w:after="120"/>
      </w:pPr>
      <w:r>
        <w:rPr>
          <w:color w:val="5B6B65"/>
        </w:rPr>
        <w:t xml:space="preserve">For program staff and community volunteers helping test the new FHAB system. Please report anything confusing or broken — see Giving feedback.</w:t>
      </w:r>
    </w:p>
    <w:p>
      <w:pPr>
        <w:pBdr>
          <w:top w:val="single" w:sz="4" w:space="6" w:color="F0D68A"/>
          <w:left w:val="single" w:sz="4" w:space="6" w:color="F0D68A"/>
          <w:bottom w:val="single" w:sz="4" w:space="6" w:color="F0D68A"/>
          <w:right w:val="single" w:sz="4" w:space="6" w:color="F0D68A"/>
        </w:pBdr>
        <w:shd w:val="clear" w:fill="FFF6E0"/>
        <w:spacing w:after="160" w:before="80"/>
        <w:ind w:left="120" w:right="120"/>
      </w:pPr>
      <w:r>
        <w:rPr>
          <w:b/>
        </w:rPr>
        <w:t xml:space="preserve">Important: this is a TEST system. Do not treat anything here as an official advisory or an official report of record. Test data may be wiped at any time. For a real suspected bloom, still use the official channels.</w:t>
      </w:r>
    </w:p>
    <w:p>
      <w:pPr>
        <w:spacing w:after="120"/>
      </w:pPr>
      <w:r>
        <w:t xml:space="preserve">This guide has two tracks — pick the one that matches your role:</w:t>
      </w:r>
    </w:p>
    <w:p>
      <w:pPr>
        <w:numPr>
          <w:ilvl w:val="0"/>
          <w:numId w:val="1"/>
        </w:numPr>
        <w:spacing w:after="60"/>
      </w:pPr>
      <w:r>
        <w:t xml:space="preserve">Community tester track — submit a bloom report from the CyanoSafe app, no login needed.</w:t>
      </w:r>
    </w:p>
    <w:p>
      <w:pPr>
        <w:numPr>
          <w:ilvl w:val="0"/>
          <w:numId w:val="1"/>
        </w:numPr>
        <w:spacing w:after="60"/>
      </w:pPr>
      <w:r>
        <w:t xml:space="preserve">Program staff track — log in to the FHAB Staff app to review reports, enter data, manage cases, and more.</w:t>
      </w:r>
    </w:p>
    <w:p>
      <w:pPr>
        <w:pStyle w:val="Heading1"/>
        <w:spacing w:after="120"/>
      </w:pPr>
      <w:r>
        <w:t xml:space="preserve">Systems and links</w:t>
      </w:r>
    </w:p>
    <w:tbl>
      <w:tblPr>
        <w:tblW w:w="9360" w:type="dxa"/>
        <w:tblBorders>
          <w:top w:val="single" w:sz="4" w:space="0" w:color="D7E0DC"/>
          <w:left w:val="single" w:sz="4" w:space="0" w:color="D7E0DC"/>
          <w:bottom w:val="single" w:sz="4" w:space="0" w:color="D7E0DC"/>
          <w:right w:val="single" w:sz="4" w:space="0" w:color="D7E0DC"/>
          <w:insideH w:val="single" w:sz="4" w:space="0" w:color="D7E0DC"/>
          <w:insideV w:val="single" w:sz="4" w:space="0" w:color="D7E0DC"/>
        </w:tblBorders>
      </w:tblPr>
      <w:tblGrid>
        <w:gridCol w:w="2600"/>
        <w:gridCol w:w="4360"/>
        <w:gridCol w:w="2400"/>
      </w:tblGrid>
      <w:tr>
        <w:tc>
          <w:tcPr>
            <w:tcW w:w="2600" w:type="dxa"/>
            <w:shd w:val="clear" w:fill="E7EFE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System</w:t>
            </w:r>
          </w:p>
        </w:tc>
        <w:tc>
          <w:tcPr>
            <w:tcW w:w="4360" w:type="dxa"/>
            <w:shd w:val="clear" w:fill="E7EFE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What it is</w:t>
            </w:r>
          </w:p>
        </w:tc>
        <w:tc>
          <w:tcPr>
            <w:tcW w:w="2400" w:type="dxa"/>
            <w:shd w:val="clear" w:fill="E7EFE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Link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CyanoSafe map (desktop)</w:t>
            </w:r>
          </w:p>
        </w:tc>
        <w:tc>
          <w:tcPr>
            <w:tcW w:w="4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Public HAB map + “Report a Bloom” form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 xml:space="preserve">Open</w:t>
              </w:r>
            </w:hyperlink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CyanoSafe app (phone / PWA)</w:t>
            </w:r>
          </w:p>
        </w:tc>
        <w:tc>
          <w:tcPr>
            <w:tcW w:w="4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The mobile app most community users will use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hyperlink r:id="rId12">
              <w:r>
                <w:rPr>
                  <w:rStyle w:val="Hyperlink"/>
                </w:rPr>
                <w:t xml:space="preserve">Open</w:t>
              </w:r>
            </w:hyperlink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FHAB Staff app</w:t>
            </w:r>
          </w:p>
        </w:tc>
        <w:tc>
          <w:tcPr>
            <w:tcW w:w="4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Staff workspace (login required)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hyperlink r:id="rId13">
              <w:r>
                <w:rPr>
                  <w:rStyle w:val="Hyperlink"/>
                </w:rPr>
                <w:t xml:space="preserve">Open</w:t>
              </w:r>
            </w:hyperlink>
          </w:p>
        </w:tc>
      </w:tr>
    </w:tbl>
    <w:p>
      <w:pPr>
        <w:spacing w:after="120"/>
      </w:pPr>
    </w:p>
    <w:p>
      <w:pPr>
        <w:spacing w:after="120"/>
      </w:pPr>
      <w:r>
        <w:rPr>
          <w:i/>
          <w:color w:val="5B6B65"/>
        </w:rPr>
        <w:t xml:space="preserve">Your staff login and any community-group API key will be provided separately — they are not in this document.</w:t>
      </w:r>
    </w:p>
    <w:p>
      <w:pPr>
        <w:pStyle w:val="Heading1"/>
        <w:spacing w:after="120"/>
      </w:pPr>
      <w:r>
        <w:t xml:space="preserve">Track A — Community tester</w:t>
      </w:r>
    </w:p>
    <w:p>
      <w:pPr>
        <w:spacing w:after="120"/>
      </w:pPr>
      <w:r>
        <w:t xml:space="preserve">You don’t need an account. You’re testing the “Report a Bloom” flow and confirming a submission reaches staff.</w:t>
      </w:r>
    </w:p>
    <w:p>
      <w:pPr>
        <w:pStyle w:val="Heading2"/>
        <w:spacing w:after="120"/>
      </w:pPr>
      <w:r>
        <w:t xml:space="preserve">Submit a test bloom report (phone / PWA)</w:t>
      </w:r>
    </w:p>
    <w:p>
      <w:pPr>
        <w:numPr>
          <w:ilvl w:val="0"/>
          <w:numId w:val="101"/>
        </w:numPr>
        <w:spacing w:after="60"/>
      </w:pPr>
      <w:r>
        <w:t xml:space="preserve">On your phone, open the CyanoSafe phone app link above. (Optional: use “Add to Home Screen” to install it like an app.)</w:t>
      </w:r>
    </w:p>
    <w:p>
      <w:pPr>
        <w:numPr>
          <w:ilvl w:val="0"/>
          <w:numId w:val="101"/>
        </w:numPr>
        <w:spacing w:after="60"/>
      </w:pPr>
      <w:r>
        <w:t xml:space="preserve">Tap Bloom List (bottom), then expand “Report a Bloom.”</w:t>
      </w:r>
    </w:p>
    <w:p>
      <w:pPr>
        <w:numPr>
          <w:ilvl w:val="0"/>
          <w:numId w:val="101"/>
        </w:numPr>
        <w:spacing w:after="60"/>
      </w:pPr>
      <w:r>
        <w:t xml:space="preserve">Optional: tap “Take / Choose Photo” — this also captures your GPS location.</w:t>
      </w:r>
    </w:p>
    <w:p>
      <w:pPr>
        <w:numPr>
          <w:ilvl w:val="0"/>
          <w:numId w:val="101"/>
        </w:numPr>
        <w:spacing w:after="60"/>
      </w:pPr>
      <w:r>
        <w:t xml:space="preserve">Fill in at least the Water body name (required) and a location (your GPS, or pick a County). Add date, bloom size, and a short description if you can.</w:t>
      </w:r>
    </w:p>
    <w:p>
      <w:pPr>
        <w:numPr>
          <w:ilvl w:val="0"/>
          <w:numId w:val="101"/>
        </w:numPr>
        <w:spacing w:after="60"/>
      </w:pPr>
      <w:r>
        <w:t xml:space="preserve">Tap Submit report. You should see “Thank you — your report was received for review.”</w:t>
      </w:r>
    </w:p>
    <w:p>
      <w:pPr>
        <w:pBdr>
          <w:top w:val="single" w:sz="4" w:space="6" w:color="F0D68A"/>
          <w:left w:val="single" w:sz="4" w:space="6" w:color="F0D68A"/>
          <w:bottom w:val="single" w:sz="4" w:space="6" w:color="F0D68A"/>
          <w:right w:val="single" w:sz="4" w:space="6" w:color="F0D68A"/>
        </w:pBdr>
        <w:shd w:val="clear" w:fill="FFF6E0"/>
        <w:spacing w:after="160" w:before="80"/>
        <w:ind w:left="120" w:right="120"/>
      </w:pPr>
      <w:r>
        <w:t xml:space="preserve">Please put TEST in the description (e.g. “TEST – ignore”) so staff know it’s a drill.</w:t>
      </w:r>
    </w:p>
    <w:p>
      <w:pPr>
        <w:pStyle w:val="Heading2"/>
        <w:spacing w:after="120"/>
      </w:pPr>
      <w:r>
        <w:t xml:space="preserve">What happens next</w:t>
      </w:r>
    </w:p>
    <w:p>
      <w:pPr>
        <w:numPr>
          <w:ilvl w:val="0"/>
          <w:numId w:val="1"/>
        </w:numPr>
        <w:spacing w:after="60"/>
      </w:pPr>
      <w:r>
        <w:t xml:space="preserve">Your report does NOT appear on the public map immediately. It goes into a staff review queue, where a staffer promotes it to a tracked report or rejects it.</w:t>
      </w:r>
    </w:p>
    <w:p>
      <w:pPr>
        <w:numPr>
          <w:ilvl w:val="0"/>
          <w:numId w:val="1"/>
        </w:numPr>
        <w:spacing w:after="60"/>
      </w:pPr>
      <w:r>
        <w:t xml:space="preserve">If you reported a suspected illness (you or an animal got sick), that automatically alerts the program’s illness team.</w:t>
      </w:r>
    </w:p>
    <w:p>
      <w:pPr>
        <w:pStyle w:val="Heading2"/>
        <w:spacing w:after="120"/>
      </w:pPr>
      <w:r>
        <w:t xml:space="preserve">What to test / look for</w:t>
      </w:r>
    </w:p>
    <w:p>
      <w:pPr>
        <w:numPr>
          <w:ilvl w:val="0"/>
          <w:numId w:val="1"/>
        </w:numPr>
        <w:spacing w:after="60"/>
      </w:pPr>
      <w:r>
        <w:t xml:space="preserve">Does the form submit successfully? Does the thank-you message appear?</w:t>
      </w:r>
    </w:p>
    <w:p>
      <w:pPr>
        <w:numPr>
          <w:ilvl w:val="0"/>
          <w:numId w:val="1"/>
        </w:numPr>
        <w:spacing w:after="60"/>
      </w:pPr>
      <w:r>
        <w:t xml:space="preserve">Does Photo + location work on your phone? Is the GPS roughly right?</w:t>
      </w:r>
    </w:p>
    <w:p>
      <w:pPr>
        <w:numPr>
          <w:ilvl w:val="0"/>
          <w:numId w:val="1"/>
        </w:numPr>
        <w:spacing w:after="60"/>
      </w:pPr>
      <w:r>
        <w:t xml:space="preserve">Try submitting with only a water body name + county (no GPS). Does it still work?</w:t>
      </w:r>
    </w:p>
    <w:p>
      <w:pPr>
        <w:numPr>
          <w:ilvl w:val="0"/>
          <w:numId w:val="1"/>
        </w:numPr>
        <w:spacing w:after="60"/>
      </w:pPr>
      <w:r>
        <w:t xml:space="preserve">Try an obviously bad entry (no water body name). Do you get a clear error?</w:t>
      </w:r>
    </w:p>
    <w:p>
      <w:pPr>
        <w:numPr>
          <w:ilvl w:val="0"/>
          <w:numId w:val="1"/>
        </w:numPr>
        <w:spacing w:after="60"/>
      </w:pPr>
      <w:r>
        <w:t xml:space="preserve">Is anything confusing, mislabeled, or hard to tap?</w:t>
      </w:r>
    </w:p>
    <w:p>
      <w:r>
        <w:br w:type="page"/>
      </w:r>
    </w:p>
    <w:p>
      <w:pPr>
        <w:pStyle w:val="Heading1"/>
        <w:spacing w:after="120"/>
      </w:pPr>
      <w:r>
        <w:t xml:space="preserve">Track B — Program staff</w:t>
      </w:r>
    </w:p>
    <w:p>
      <w:pPr>
        <w:spacing w:after="120"/>
      </w:pPr>
      <w:r>
        <w:t xml:space="preserve">You’ll log in to the FHAB Staff app at https://fhab-web.onrender.com.</w:t>
      </w:r>
    </w:p>
    <w:p>
      <w:pPr>
        <w:pStyle w:val="Heading2"/>
        <w:spacing w:after="120"/>
      </w:pPr>
      <w:r>
        <w:t xml:space="preserve">Roles</w:t>
      </w:r>
    </w:p>
    <w:p>
      <w:pPr>
        <w:spacing w:after="120"/>
      </w:pPr>
      <w:r>
        <w:t xml:space="preserve">What you can see and do depends on your role.</w:t>
      </w:r>
    </w:p>
    <w:tbl>
      <w:tblPr>
        <w:tblW w:w="9360" w:type="dxa"/>
        <w:tblBorders>
          <w:top w:val="single" w:sz="4" w:space="0" w:color="D7E0DC"/>
          <w:left w:val="single" w:sz="4" w:space="0" w:color="D7E0DC"/>
          <w:bottom w:val="single" w:sz="4" w:space="0" w:color="D7E0DC"/>
          <w:right w:val="single" w:sz="4" w:space="0" w:color="D7E0DC"/>
          <w:insideH w:val="single" w:sz="4" w:space="0" w:color="D7E0DC"/>
          <w:insideV w:val="single" w:sz="4" w:space="0" w:color="D7E0DC"/>
        </w:tblBorders>
      </w:tblPr>
      <w:tblGrid>
        <w:gridCol w:w="2600"/>
        <w:gridCol w:w="6760"/>
      </w:tblGrid>
      <w:tr>
        <w:tc>
          <w:tcPr>
            <w:tcW w:w="2600" w:type="dxa"/>
            <w:shd w:val="clear" w:fill="E7EFE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Role</w:t>
            </w:r>
          </w:p>
        </w:tc>
        <w:tc>
          <w:tcPr>
            <w:tcW w:w="6760" w:type="dxa"/>
            <w:shd w:val="clear" w:fill="E7EFE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Can do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program_admin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Everything, incl. account management and community-group API keys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wb_staff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Enter/edit reports, review submissions, cases, advisories, lab data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field_staff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Field verification + results entry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lab_analyst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Lab results / CEDEN data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illness_workgroup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Receives suspected-illness escalations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ddw_staff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Drinking-water focus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Your data is scoped to your Regional Water Board — you generally see and manage your region’s records. Cross-region report entry is allowed with a confirmation.</w:t>
      </w:r>
    </w:p>
    <w:p>
      <w:pPr>
        <w:pStyle w:val="Heading2"/>
        <w:spacing w:after="120"/>
      </w:pPr>
      <w:r>
        <w:t xml:space="preserve">First login</w:t>
      </w:r>
    </w:p>
    <w:p>
      <w:pPr>
        <w:numPr>
          <w:ilvl w:val="0"/>
          <w:numId w:val="102"/>
        </w:numPr>
        <w:spacing w:after="60"/>
      </w:pPr>
      <w:r>
        <w:t xml:space="preserve">Go to the Staff app and sign in with the credentials provided.</w:t>
      </w:r>
    </w:p>
    <w:p>
      <w:pPr>
        <w:numPr>
          <w:ilvl w:val="0"/>
          <w:numId w:val="102"/>
        </w:numPr>
        <w:spacing w:after="60"/>
      </w:pPr>
      <w:r>
        <w:t xml:space="preserve">You land on the Dashboard: quick actions, and the reports you’ve recently worked on.</w:t>
      </w:r>
    </w:p>
    <w:p>
      <w:pPr>
        <w:numPr>
          <w:ilvl w:val="0"/>
          <w:numId w:val="102"/>
        </w:numPr>
        <w:spacing w:after="60"/>
      </w:pPr>
      <w:r>
        <w:t xml:space="preserve">Note the bell (top right) — your notifications, including new submissions and illness alerts.</w:t>
      </w:r>
    </w:p>
    <w:p>
      <w:pPr>
        <w:pStyle w:val="Heading2"/>
        <w:spacing w:after="120"/>
      </w:pPr>
      <w:r>
        <w:t xml:space="preserve">The main things to test</w:t>
      </w:r>
    </w:p>
    <w:p>
      <w:pPr>
        <w:pStyle w:val="Heading3"/>
        <w:spacing w:after="120"/>
      </w:pPr>
      <w:r>
        <w:t xml:space="preserve">1. Review the submission queue (Submissions)</w:t>
      </w:r>
    </w:p>
    <w:p>
      <w:pPr>
        <w:numPr>
          <w:ilvl w:val="0"/>
          <w:numId w:val="1"/>
        </w:numPr>
        <w:spacing w:after="60"/>
      </w:pPr>
      <w:r>
        <w:t xml:space="preserve">New community/app reports land here as pending.</w:t>
      </w:r>
    </w:p>
    <w:p>
      <w:pPr>
        <w:numPr>
          <w:ilvl w:val="0"/>
          <w:numId w:val="1"/>
        </w:numPr>
        <w:spacing w:after="60"/>
      </w:pPr>
      <w:r>
        <w:t xml:space="preserve">For each: choose a region and Promote (creates a tracked report) or Reject.</w:t>
      </w:r>
    </w:p>
    <w:p>
      <w:pPr>
        <w:numPr>
          <w:ilvl w:val="0"/>
          <w:numId w:val="1"/>
        </w:numPr>
        <w:spacing w:after="60"/>
      </w:pPr>
      <w:r>
        <w:t xml:space="preserve">Promoting carries over everything the reporter sent (location, bloom details, photo, suspected illness) and starts the report as under investigation.</w:t>
      </w:r>
    </w:p>
    <w:p>
      <w:pPr>
        <w:numPr>
          <w:ilvl w:val="0"/>
          <w:numId w:val="1"/>
        </w:numPr>
        <w:spacing w:after="60"/>
      </w:pPr>
      <w:r>
        <w:t xml:space="preserve">Try the filters (pending / promoted / rejected) and the trusted-groups filter.</w:t>
      </w:r>
    </w:p>
    <w:p>
      <w:pPr>
        <w:pStyle w:val="Heading3"/>
        <w:spacing w:after="120"/>
      </w:pPr>
      <w:r>
        <w:t xml:space="preserve">2. Enter a new report (New report)</w:t>
      </w:r>
    </w:p>
    <w:p>
      <w:pPr>
        <w:numPr>
          <w:ilvl w:val="0"/>
          <w:numId w:val="1"/>
        </w:numPr>
        <w:spacing w:after="60"/>
      </w:pPr>
      <w:r>
        <w:t xml:space="preserve">Mirrors the official bloom form: report type, water body, county, landmark, coordinates, bloom characteristics, reporter contact, suspected illness, and photos.</w:t>
      </w:r>
    </w:p>
    <w:p>
      <w:pPr>
        <w:numPr>
          <w:ilvl w:val="0"/>
          <w:numId w:val="1"/>
        </w:numPr>
        <w:spacing w:after="60"/>
      </w:pPr>
      <w:r>
        <w:t xml:space="preserve">Water body has a type-ahead that suggests existing waterbodies — pick one to avoid duplicates; near-duplicate names prompt a confirm.</w:t>
      </w:r>
    </w:p>
    <w:p>
      <w:pPr>
        <w:numPr>
          <w:ilvl w:val="0"/>
          <w:numId w:val="1"/>
        </w:numPr>
        <w:spacing w:after="60"/>
      </w:pPr>
      <w:r>
        <w:t xml:space="preserve">County is a controlled dropdown.</w:t>
      </w:r>
    </w:p>
    <w:p>
      <w:pPr>
        <w:pStyle w:val="Heading3"/>
        <w:spacing w:after="120"/>
      </w:pPr>
      <w:r>
        <w:t xml:space="preserve">3. Open a report (Reports → click one)</w:t>
      </w:r>
    </w:p>
    <w:p>
      <w:pPr>
        <w:numPr>
          <w:ilvl w:val="0"/>
          <w:numId w:val="1"/>
        </w:numPr>
        <w:spacing w:after="60"/>
      </w:pPr>
      <w:r>
        <w:t xml:space="preserve">Edit field-verification details and set the outcome / determination.</w:t>
      </w:r>
    </w:p>
    <w:p>
      <w:pPr>
        <w:numPr>
          <w:ilvl w:val="0"/>
          <w:numId w:val="1"/>
        </w:numPr>
        <w:spacing w:after="60"/>
      </w:pPr>
      <w:r>
        <w:t xml:space="preserve">Add field/lab results, or upload a CEDEN lab CSV.</w:t>
      </w:r>
    </w:p>
    <w:p>
      <w:pPr>
        <w:numPr>
          <w:ilvl w:val="0"/>
          <w:numId w:val="1"/>
        </w:numPr>
        <w:spacing w:after="60"/>
      </w:pPr>
      <w:r>
        <w:t xml:space="preserve">Record a response / advisory (an advisory with “display on map” drives the public map).</w:t>
      </w:r>
    </w:p>
    <w:p>
      <w:pPr>
        <w:numPr>
          <w:ilvl w:val="0"/>
          <w:numId w:val="1"/>
        </w:numPr>
        <w:spacing w:after="60"/>
      </w:pPr>
      <w:r>
        <w:t xml:space="preserve">Staff-only: reporter contact and the suspected illness/death matrix.</w:t>
      </w:r>
    </w:p>
    <w:p>
      <w:pPr>
        <w:pStyle w:val="Heading3"/>
        <w:spacing w:after="120"/>
      </w:pPr>
      <w:r>
        <w:t xml:space="preserve">4. Cases (Cases)</w:t>
      </w:r>
    </w:p>
    <w:p>
      <w:pPr>
        <w:numPr>
          <w:ilvl w:val="0"/>
          <w:numId w:val="1"/>
        </w:numPr>
        <w:spacing w:after="60"/>
      </w:pPr>
      <w:r>
        <w:t xml:space="preserve">Group related reports into a case (one region, one waterbody, one year); assign reports, set status/lead, upload case-level lab data.</w:t>
      </w:r>
    </w:p>
    <w:p>
      <w:pPr>
        <w:pStyle w:val="Heading3"/>
        <w:spacing w:after="120"/>
      </w:pPr>
      <w:r>
        <w:t xml:space="preserve">5. Lab batches (Batch → Lab batch reconciliation)</w:t>
      </w:r>
    </w:p>
    <w:p>
      <w:pPr>
        <w:numPr>
          <w:ilvl w:val="0"/>
          <w:numId w:val="1"/>
        </w:numPr>
        <w:spacing w:after="60"/>
      </w:pPr>
      <w:r>
        <w:t xml:space="preserve">Upload a CEDEN chemistry template; the system stages it and fuzzy-matches each station+date group to candidate reports. Promote, link manually, or create a report from a station.</w:t>
      </w:r>
    </w:p>
    <w:p>
      <w:pPr>
        <w:pStyle w:val="Heading3"/>
        <w:spacing w:after="120"/>
      </w:pPr>
      <w:r>
        <w:t xml:space="preserve">6. Notifications (bell)</w:t>
      </w:r>
    </w:p>
    <w:p>
      <w:pPr>
        <w:numPr>
          <w:ilvl w:val="0"/>
          <w:numId w:val="1"/>
        </w:numPr>
        <w:spacing w:after="60"/>
      </w:pPr>
      <w:r>
        <w:t xml:space="preserve">Confirm you get a notice for a new submission (and an illness alert if one reports suspected illness). “Mark all read” clears the badge.</w:t>
      </w:r>
    </w:p>
    <w:p>
      <w:pPr>
        <w:pStyle w:val="Heading3"/>
        <w:spacing w:after="120"/>
      </w:pPr>
      <w:r>
        <w:t xml:space="preserve">7. Open data (Open data)</w:t>
      </w:r>
    </w:p>
    <w:p>
      <w:pPr>
        <w:numPr>
          <w:ilvl w:val="0"/>
          <w:numId w:val="1"/>
        </w:numPr>
        <w:spacing w:after="60"/>
      </w:pPr>
      <w:r>
        <w:t xml:space="preserve">Download the four data.ca.gov flat files (CSV or zip) or view the provisional JSON API.</w:t>
      </w:r>
    </w:p>
    <w:p>
      <w:pPr>
        <w:numPr>
          <w:ilvl w:val="0"/>
          <w:numId w:val="1"/>
        </w:numPr>
        <w:spacing w:after="60"/>
      </w:pPr>
      <w:r>
        <w:t xml:space="preserve">Confirm these contain NO reporter contact / illness / veterinary data.</w:t>
      </w:r>
    </w:p>
    <w:p>
      <w:pPr>
        <w:pStyle w:val="Heading3"/>
        <w:spacing w:after="120"/>
      </w:pPr>
      <w:r>
        <w:t xml:space="preserve">8. Admin only — Accounts &amp; Groups</w:t>
      </w:r>
    </w:p>
    <w:p>
      <w:pPr>
        <w:numPr>
          <w:ilvl w:val="0"/>
          <w:numId w:val="1"/>
        </w:numPr>
        <w:spacing w:after="60"/>
      </w:pPr>
      <w:r>
        <w:t xml:space="preserve">Accounts: create users and grant/revoke roles.</w:t>
      </w:r>
    </w:p>
    <w:p>
      <w:pPr>
        <w:numPr>
          <w:ilvl w:val="0"/>
          <w:numId w:val="1"/>
        </w:numPr>
        <w:spacing w:after="60"/>
      </w:pPr>
      <w:r>
        <w:t xml:space="preserve">Groups: register a community/partner group and mint an API key (shown once) so they can submit attributed — and optionally trusted — reports.</w:t>
      </w:r>
    </w:p>
    <w:p>
      <w:pPr>
        <w:pStyle w:val="Heading2"/>
        <w:spacing w:after="120"/>
      </w:pPr>
      <w:r>
        <w:t xml:space="preserve">A suggested 15-minute test script</w:t>
      </w:r>
    </w:p>
    <w:p>
      <w:pPr>
        <w:numPr>
          <w:ilvl w:val="0"/>
          <w:numId w:val="103"/>
        </w:numPr>
        <w:spacing w:after="60"/>
      </w:pPr>
      <w:r>
        <w:t xml:space="preserve">Submit a test report from the CyanoSafe phone app (Track A) — include a suspected illness.</w:t>
      </w:r>
    </w:p>
    <w:p>
      <w:pPr>
        <w:numPr>
          <w:ilvl w:val="0"/>
          <w:numId w:val="103"/>
        </w:numPr>
        <w:spacing w:after="60"/>
      </w:pPr>
      <w:r>
        <w:t xml:space="preserve">Log in to the Staff app; confirm the bell shows new + illness notifications.</w:t>
      </w:r>
    </w:p>
    <w:p>
      <w:pPr>
        <w:numPr>
          <w:ilvl w:val="0"/>
          <w:numId w:val="103"/>
        </w:numPr>
        <w:spacing w:after="60"/>
      </w:pPr>
      <w:r>
        <w:t xml:space="preserve">Go to Submissions; Promote your test report to your region.</w:t>
      </w:r>
    </w:p>
    <w:p>
      <w:pPr>
        <w:numPr>
          <w:ilvl w:val="0"/>
          <w:numId w:val="103"/>
        </w:numPr>
        <w:spacing w:after="60"/>
      </w:pPr>
      <w:r>
        <w:t xml:space="preserve">Open the new report; set an outcome, add a field result, and post an advisory.</w:t>
      </w:r>
    </w:p>
    <w:p>
      <w:pPr>
        <w:numPr>
          <w:ilvl w:val="0"/>
          <w:numId w:val="103"/>
        </w:numPr>
        <w:spacing w:after="60"/>
      </w:pPr>
      <w:r>
        <w:t xml:space="preserve">Create a Case and assign the report to it.</w:t>
      </w:r>
    </w:p>
    <w:p>
      <w:pPr>
        <w:numPr>
          <w:ilvl w:val="0"/>
          <w:numId w:val="103"/>
        </w:numPr>
        <w:spacing w:after="60"/>
      </w:pPr>
      <w:r>
        <w:t xml:space="preserve">Go to Open data; download bloom-report.csv; confirm your report is in it and that no reporter name/illness columns appear.</w:t>
      </w:r>
    </w:p>
    <w:p>
      <w:pPr>
        <w:numPr>
          <w:ilvl w:val="0"/>
          <w:numId w:val="103"/>
        </w:numPr>
        <w:spacing w:after="60"/>
      </w:pPr>
      <w:r>
        <w:t xml:space="preserve">Note anything confusing along the way.</w:t>
      </w:r>
    </w:p>
    <w:p>
      <w:r>
        <w:br w:type="page"/>
      </w:r>
    </w:p>
    <w:p>
      <w:pPr>
        <w:pStyle w:val="Heading1"/>
        <w:spacing w:after="120"/>
      </w:pPr>
      <w:r>
        <w:t xml:space="preserve">Giving feedback</w:t>
      </w:r>
    </w:p>
    <w:p>
      <w:pPr>
        <w:spacing w:after="120"/>
      </w:pPr>
      <w:r>
        <w:t xml:space="preserve">For each issue, please tell us:</w:t>
      </w:r>
    </w:p>
    <w:p>
      <w:pPr>
        <w:numPr>
          <w:ilvl w:val="0"/>
          <w:numId w:val="1"/>
        </w:numPr>
        <w:spacing w:after="60"/>
      </w:pPr>
      <w:r>
        <w:t xml:space="preserve">Which app (CyanoSafe phone / desktop / FHAB Staff) and which page.</w:t>
      </w:r>
    </w:p>
    <w:p>
      <w:pPr>
        <w:numPr>
          <w:ilvl w:val="0"/>
          <w:numId w:val="1"/>
        </w:numPr>
        <w:spacing w:after="60"/>
      </w:pPr>
      <w:r>
        <w:t xml:space="preserve">What you did, what you expected, and what happened.</w:t>
      </w:r>
    </w:p>
    <w:p>
      <w:pPr>
        <w:numPr>
          <w:ilvl w:val="0"/>
          <w:numId w:val="1"/>
        </w:numPr>
        <w:spacing w:after="60"/>
      </w:pPr>
      <w:r>
        <w:t xml:space="preserve">A screenshot if you can, plus the date/time and your browser/device.</w:t>
      </w:r>
    </w:p>
    <w:p>
      <w:pPr>
        <w:numPr>
          <w:ilvl w:val="0"/>
          <w:numId w:val="1"/>
        </w:numPr>
        <w:spacing w:after="60"/>
      </w:pPr>
      <w:r>
        <w:t xml:space="preserve">Severity: blocker / annoying / cosmetic / suggestion.</w:t>
      </w:r>
    </w:p>
    <w:p>
      <w:pPr>
        <w:spacing w:after="120"/>
      </w:pPr>
      <w:r>
        <w:t xml:space="preserve">Send feedback to [contact provided separately]. There’s no in-app bug button yet.</w:t>
      </w:r>
    </w:p>
    <w:p>
      <w:pPr>
        <w:pStyle w:val="Heading1"/>
        <w:spacing w:after="120"/>
      </w:pPr>
      <w:r>
        <w:t xml:space="preserve">Known limitations (no need to report these)</w:t>
      </w:r>
    </w:p>
    <w:p>
      <w:pPr>
        <w:spacing w:after="120"/>
      </w:pPr>
      <w:r>
        <w:t xml:space="preserve">These are known and on the roadmap — please don’t file them as bugs:</w:t>
      </w:r>
    </w:p>
    <w:p>
      <w:pPr>
        <w:numPr>
          <w:ilvl w:val="0"/>
          <w:numId w:val="1"/>
        </w:numPr>
        <w:spacing w:after="60"/>
      </w:pPr>
      <w:r>
        <w:t xml:space="preserve">No email yet by default — notifications are in-app (the bell). Email escalation is only active if the program configures SMTP.</w:t>
      </w:r>
    </w:p>
    <w:p>
      <w:pPr>
        <w:numPr>
          <w:ilvl w:val="0"/>
          <w:numId w:val="1"/>
        </w:numPr>
        <w:spacing w:after="60"/>
      </w:pPr>
      <w:r>
        <w:t xml:space="preserve">No password reset / SSO yet — if you’re locked out, an admin resets your login.</w:t>
      </w:r>
    </w:p>
    <w:p>
      <w:pPr>
        <w:numPr>
          <w:ilvl w:val="0"/>
          <w:numId w:val="1"/>
        </w:numPr>
        <w:spacing w:after="60"/>
      </w:pPr>
      <w:r>
        <w:t xml:space="preserve">No full audit history yet (only a light “recent activity” log).</w:t>
      </w:r>
    </w:p>
    <w:p>
      <w:pPr>
        <w:numPr>
          <w:ilvl w:val="0"/>
          <w:numId w:val="1"/>
        </w:numPr>
        <w:spacing w:after="60"/>
      </w:pPr>
      <w:r>
        <w:t xml:space="preserve">Publishing to data.ca.gov is manual — the app generates the files; uploading them is a manual/scheduled step.</w:t>
      </w:r>
    </w:p>
    <w:p>
      <w:pPr>
        <w:numPr>
          <w:ilvl w:val="0"/>
          <w:numId w:val="1"/>
        </w:numPr>
        <w:spacing w:after="60"/>
      </w:pPr>
      <w:r>
        <w:t xml:space="preserve">GeoConnex IDs are shown but not yet publicly resolvable.</w:t>
      </w:r>
    </w:p>
    <w:p>
      <w:pPr>
        <w:numPr>
          <w:ilvl w:val="0"/>
          <w:numId w:val="1"/>
        </w:numPr>
        <w:spacing w:after="60"/>
      </w:pPr>
      <w:r>
        <w:t xml:space="preserve">Free hosting can be slow on the first request after idle (it “wakes up”); give it a few seconds.</w:t>
      </w:r>
    </w:p>
    <w:p>
      <w:pPr>
        <w:pStyle w:val="Heading1"/>
        <w:spacing w:after="120"/>
      </w:pPr>
      <w:r>
        <w:t xml:space="preserve">Mini glossary</w:t>
      </w:r>
    </w:p>
    <w:tbl>
      <w:tblPr>
        <w:tblW w:w="9360" w:type="dxa"/>
        <w:tblBorders>
          <w:top w:val="single" w:sz="4" w:space="0" w:color="D7E0DC"/>
          <w:left w:val="single" w:sz="4" w:space="0" w:color="D7E0DC"/>
          <w:bottom w:val="single" w:sz="4" w:space="0" w:color="D7E0DC"/>
          <w:right w:val="single" w:sz="4" w:space="0" w:color="D7E0DC"/>
          <w:insideH w:val="single" w:sz="4" w:space="0" w:color="D7E0DC"/>
          <w:insideV w:val="single" w:sz="4" w:space="0" w:color="D7E0DC"/>
        </w:tblBorders>
      </w:tblPr>
      <w:tblGrid>
        <w:gridCol w:w="2600"/>
        <w:gridCol w:w="6760"/>
      </w:tblGrid>
      <w:tr>
        <w:tc>
          <w:tcPr>
            <w:tcW w:w="2600" w:type="dxa"/>
            <w:shd w:val="clear" w:fill="E7EFE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Term</w:t>
            </w:r>
          </w:p>
        </w:tc>
        <w:tc>
          <w:tcPr>
            <w:tcW w:w="6760" w:type="dxa"/>
            <w:shd w:val="clear" w:fill="E7EFE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Meaning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Report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One observed/suspected bloom event.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Event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The first-class record a report becomes; some events become cases.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Case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A grouping of related reports for a waterbody (one region, one year).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Response / Advisory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A staff action; an advisory is the public-facing caution/warning/danger.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Determination / outcome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What a report turned out to be.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Submission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A public/community report awaiting staff review (not yet a tracked report).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Promote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Turn a pending submission into a tracked report.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Provisional data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Live data from this system, not the official data.ca.gov release.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CEDEN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The state environmental data exchange (lab results format).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HUC-12 / GeoConnex</w:t>
            </w:r>
          </w:p>
        </w:tc>
        <w:tc>
          <w:tcPr>
            <w:tcW w:w="6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</w:pPr>
            <w:r>
              <w:t xml:space="preserve">Watershed coding / persistent identifiers for locations.</w:t>
            </w:r>
          </w:p>
        </w:tc>
      </w:tr>
    </w:tbl>
    <w:p>
      <w:pPr>
        <w:spacing w:after="120"/>
      </w:pPr>
    </w:p>
    <w:sectPr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color w:val="7A8A84"/>
        <w:sz w:val="18"/>
      </w:rPr>
      <w:t xml:space="preserve">FHAB Database Modernized — Tester Guide (pilot)  •  Page </w:t>
    </w:r>
    <w:r>
      <w:rPr>
        <w:color w:val="7A8A84"/>
        <w:sz w:val="18"/>
      </w:rPr>
      <w:fldChar w:fldCharType="begin"/>
    </w:r>
    <w:r>
      <w:rPr>
        <w:color w:val="7A8A84"/>
        <w:sz w:val="18"/>
      </w:rPr>
      <w:instrText xml:space="preserve"> PAGE </w:instrText>
    </w:r>
    <w:r>
      <w:rPr>
        <w:color w:val="7A8A84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600" w:hanging="30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0"/>
  </w:num>
  <w:num w:numId="101">
    <w:abstractNumId w:val="1"/>
  </w:num>
  <w:num w:numId="102">
    <w:abstractNumId w:val="1"/>
  </w:num>
  <w:num w:numId="103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1C2B27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80" w:after="140"/>
      <w:outlineLvl w:val="0"/>
    </w:pPr>
    <w:rPr>
      <w:b/>
      <w:color w:val="1F7A4D"/>
      <w:sz w:val="34"/>
    </w:rPr>
  </w:style>
  <w:style w:type="paragraph" w:styleId="Heading2">
    <w:name w:val="heading 2"/>
    <w:basedOn w:val="Normal"/>
    <w:next w:val="Normal"/>
    <w:pPr>
      <w:keepNext/>
      <w:spacing w:before="200" w:after="100"/>
      <w:outlineLvl w:val="1"/>
    </w:pPr>
    <w:rPr>
      <w:b/>
      <w:color w:val="1C2B27"/>
      <w:sz w:val="27"/>
    </w:rPr>
  </w:style>
  <w:style w:type="paragraph" w:styleId="Heading3">
    <w:name w:val="heading 3"/>
    <w:basedOn w:val="Normal"/>
    <w:next w:val="Normal"/>
    <w:pPr>
      <w:keepNext/>
      <w:spacing w:before="160" w:after="60"/>
      <w:outlineLvl w:val="2"/>
    </w:pPr>
    <w:rPr>
      <w:b/>
      <w:color w:val="1F7A4D"/>
      <w:sz w:val="23"/>
    </w:rPr>
  </w:style>
  <w:style w:type="character" w:styleId="Hyperlink">
    <w:name w:val="Hyperlink"/>
    <w:rPr>
      <w:color w:val="2563EB"/>
      <w:u w:val="single"/>
    </w:r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11" Type="http://schemas.openxmlformats.org/officeDocument/2006/relationships/hyperlink" Target="https://ggearheart.github.io/CyanoSafe_demo/" TargetMode="External"/><Relationship Id="rId12" Type="http://schemas.openxmlformats.org/officeDocument/2006/relationships/hyperlink" Target="https://ggearheart.github.io/CyanoSafe_phone_demo/" TargetMode="External"/><Relationship Id="rId13" Type="http://schemas.openxmlformats.org/officeDocument/2006/relationships/hyperlink" Target="https://fhab-web.onrender.com" TargetMode="External"/></Relationships>
</file>