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onsolas" w:hAnsi="Consolas"/>
          <w:b/>
          <w:color w:val="2F7D5B"/>
          <w:sz w:val="15"/>
          <w:spacing w:val="40"/>
        </w:rPr>
        <w:t>FHAB DATABASE MODERNIZATION · TECHNICAL WHITE PAPER · DRAFT</w:t>
      </w:r>
    </w:p>
    <w:p>
      <w:pPr>
        <w:pStyle w:val="Heading1"/>
      </w:pPr>
      <w:r>
        <w:t>Linking Laboratory Data to a Bloom Incident — Before the Samples Are Even Taken</w:t>
      </w:r>
    </w:p>
    <w:p>
      <w:pPr>
        <w:spacing w:after="120"/>
      </w:pPr>
      <w:r>
        <w:rPr>
          <w:rFonts w:ascii="Georgia" w:hAnsi="Georgia"/>
          <w:i/>
          <w:color w:val="4A5C5A"/>
          <w:sz w:val="23"/>
        </w:rPr>
        <w:t>A sampling-provenance approach: issue the identifier at the moment of sampling, and let event → sample → result linkage happen by construction, not by archaeology.</w:t>
      </w:r>
    </w:p>
    <w:p>
      <w:r>
        <w:rPr>
          <w:rFonts w:ascii="Consolas" w:hAnsi="Consolas"/>
          <w:color w:val="7C8C8A"/>
          <w:sz w:val="16"/>
        </w:rPr>
        <w:t>Prepared by the FHAB Database Modernization project   ·   Audience: FHAB program &amp; Regional Water Board staff   ·   Status: Draft for discussion, July 2026</w:t>
      </w:r>
    </w:p>
    <w:p>
      <w:pPr>
        <w:spacing w:before="20" w:after="120"/>
        <w:pBdr>
          <w:bottom w:val="single" w:sz="12" w:space="1" w:color="0D3B3A"/>
        </w:pBdr>
      </w:pPr>
    </w:p>
    <w:p>
      <w:pPr>
        <w:spacing w:after="160"/>
      </w:pPr>
      <w:r>
        <w:rPr>
          <w:b/>
          <w:color w:val="182827"/>
        </w:rPr>
        <w:t>The hardest part of managing HAB laboratory data isn't the chemistry — it's the timing.</w:t>
      </w:r>
      <w:r>
        <w:rPr>
          <w:i w:val="0"/>
          <w:color w:val="2C3E3C"/>
        </w:rPr>
        <w:t xml:space="preserve"> An incident opens before anyone knows who will sample, how many samples they'll collect, or which analyses they'll run. Samples flow to one or more laboratories; results return a week or more later; high-concern cases spawn additional sampling events over weeks or months. Each artifact lands in a folder, and the work of connecting it back to the right report, case, and response is deferred — sometimes for years. This paper argues that the linkage problem is fundamentally a problem of </w:t>
      </w:r>
      <w:r>
        <w:rPr>
          <w:i/>
          <w:color w:val="2C3E3C"/>
        </w:rPr>
        <w:t>when identity is assigned</w:t>
      </w:r>
      <w:r>
        <w:rPr>
          <w:i w:val="0"/>
          <w:color w:val="2C3E3C"/>
        </w:rPr>
        <w:t xml:space="preserve">, and proposes a single, low-friction fix: a </w:t>
      </w:r>
      <w:r>
        <w:rPr>
          <w:b/>
          <w:color w:val="182827"/>
        </w:rPr>
        <w:t>Sampling Event Code</w:t>
      </w:r>
      <w:r>
        <w:rPr>
          <w:i w:val="0"/>
          <w:color w:val="2C3E3C"/>
        </w:rPr>
        <w:t xml:space="preserve"> minted at the first hint of sampling and carried on every communication that follows.</w:t>
      </w:r>
    </w:p>
    <w:p>
      <w:pPr>
        <w:spacing w:after="60"/>
      </w:pPr>
      <w:r>
        <w:rPr>
          <w:rFonts w:ascii="Consolas" w:hAnsi="Consolas"/>
          <w:b/>
          <w:color w:val="B4530A"/>
          <w:sz w:val="15"/>
          <w:spacing w:val="40"/>
        </w:rPr>
        <w:t>§ 01 — THE PROBLEM</w:t>
      </w:r>
    </w:p>
    <w:p>
      <w:pPr>
        <w:pStyle w:val="Heading2"/>
      </w:pPr>
      <w:r>
        <w:t>A moving timeline that outruns its own recordkeeping</w:t>
      </w:r>
    </w:p>
    <w:p>
      <w:pPr>
        <w:spacing w:after="160"/>
      </w:pPr>
      <w:r>
        <w:rPr>
          <w:i w:val="0"/>
          <w:color w:val="2C3E3C"/>
        </w:rPr>
        <w:t>Freshwater HAB response is not a tidy pipeline. A typical incident unfolds like this:</w:t>
      </w:r>
    </w:p>
    <w:p>
      <w:pPr>
        <w:pStyle w:val="ListBullet"/>
        <w:spacing w:after="60"/>
      </w:pPr>
      <w:r>
        <w:rPr>
          <w:i w:val="0"/>
          <w:color w:val="2C3E3C"/>
        </w:rPr>
        <w:t xml:space="preserve">An incident is </w:t>
      </w:r>
      <w:r>
        <w:rPr>
          <w:b/>
          <w:color w:val="182827"/>
        </w:rPr>
        <w:t>opened on partial information</w:t>
      </w:r>
      <w:r>
        <w:rPr>
          <w:i w:val="0"/>
          <w:color w:val="2C3E3C"/>
        </w:rPr>
        <w:t xml:space="preserve"> — a report, a photo, a phone call. Whether anyone samples, and who, is often undecided.</w:t>
      </w:r>
    </w:p>
    <w:p>
      <w:pPr>
        <w:pStyle w:val="ListBullet"/>
        <w:spacing w:after="60"/>
      </w:pPr>
      <w:r>
        <w:rPr>
          <w:i w:val="0"/>
          <w:color w:val="2C3E3C"/>
        </w:rPr>
        <w:t xml:space="preserve">One or more parties — Water Board staff, a tribe, a lake association, a partner agency — </w:t>
      </w:r>
      <w:r>
        <w:rPr>
          <w:b/>
          <w:color w:val="182827"/>
        </w:rPr>
        <w:t>decide independently to sample</w:t>
      </w:r>
      <w:r>
        <w:rPr>
          <w:i w:val="0"/>
          <w:color w:val="2C3E3C"/>
        </w:rPr>
        <w:t>, each on their own timeline.</w:t>
      </w:r>
    </w:p>
    <w:p>
      <w:pPr>
        <w:pStyle w:val="ListBullet"/>
        <w:spacing w:after="60"/>
      </w:pPr>
      <w:r>
        <w:rPr>
          <w:i w:val="0"/>
          <w:color w:val="2C3E3C"/>
        </w:rPr>
        <w:t xml:space="preserve">Samples are collected, split, and shipped to </w:t>
      </w:r>
      <w:r>
        <w:rPr>
          <w:b/>
          <w:color w:val="182827"/>
        </w:rPr>
        <w:t>different laboratories</w:t>
      </w:r>
      <w:r>
        <w:rPr>
          <w:i w:val="0"/>
          <w:color w:val="2C3E3C"/>
        </w:rPr>
        <w:t>, each with its own submission forms, sample IDs, and turnaround.</w:t>
      </w:r>
    </w:p>
    <w:p>
      <w:pPr>
        <w:pStyle w:val="ListBullet"/>
        <w:spacing w:after="60"/>
      </w:pPr>
      <w:r>
        <w:rPr>
          <w:i w:val="0"/>
          <w:color w:val="2C3E3C"/>
        </w:rPr>
        <w:t xml:space="preserve">Results </w:t>
      </w:r>
      <w:r>
        <w:rPr>
          <w:b/>
          <w:color w:val="182827"/>
        </w:rPr>
        <w:t>trickle back about a week later</w:t>
      </w:r>
      <w:r>
        <w:rPr>
          <w:i w:val="0"/>
          <w:color w:val="2C3E3C"/>
        </w:rPr>
        <w:t xml:space="preserve"> — as spreadsheets, PDFs, and chain-of-custody scans, under the lab's naming, not the program's.</w:t>
      </w:r>
    </w:p>
    <w:p>
      <w:pPr>
        <w:pStyle w:val="ListBullet"/>
        <w:spacing w:after="60"/>
      </w:pPr>
      <w:r>
        <w:rPr>
          <w:i w:val="0"/>
          <w:color w:val="2C3E3C"/>
        </w:rPr>
        <w:t xml:space="preserve">For a high-concern case, </w:t>
      </w:r>
      <w:r>
        <w:rPr>
          <w:b/>
          <w:color w:val="182827"/>
        </w:rPr>
        <w:t>additional sampling events follow</w:t>
      </w:r>
      <w:r>
        <w:rPr>
          <w:i w:val="0"/>
          <w:color w:val="2C3E3C"/>
        </w:rPr>
        <w:t>, repeating the cycle and multiplying the artifacts.</w:t>
      </w:r>
    </w:p>
    <w:p>
      <w:pPr>
        <w:spacing w:after="160"/>
      </w:pPr>
      <w:r>
        <w:rPr>
          <w:i w:val="0"/>
          <w:color w:val="2C3E3C"/>
        </w:rPr>
        <w:t>Everything gets “tucked into folders.” Months or years later, someone opens those folders and tries to reconstruct which result belongs to which sampling event, which event to which case, and which case to which response and advisory. That reconstruction is slow, ambiguous, and lossy — and it delays the moment the data can become authoritative public information.</w:t>
      </w:r>
    </w:p>
    <w:p>
      <w:pPr>
        <w:spacing w:after="60"/>
      </w:pPr>
      <w:r>
        <w:rPr>
          <w:rFonts w:ascii="Consolas" w:hAnsi="Consolas"/>
          <w:b/>
          <w:color w:val="B4530A"/>
          <w:sz w:val="15"/>
          <w:spacing w:val="40"/>
        </w:rPr>
        <w:t>§ 02 — ROOT CAUSE</w:t>
      </w:r>
    </w:p>
    <w:p>
      <w:pPr>
        <w:pStyle w:val="Heading2"/>
      </w:pPr>
      <w:r>
        <w:t>We assign identity too late</w:t>
      </w:r>
    </w:p>
    <w:p>
      <w:pPr>
        <w:spacing w:after="160"/>
      </w:pPr>
      <w:r>
        <w:rPr>
          <w:i w:val="0"/>
          <w:color w:val="2C3E3C"/>
        </w:rPr>
        <w:t xml:space="preserve">From a database perspective, the difficulty has one root: </w:t>
      </w:r>
      <w:r>
        <w:rPr>
          <w:b/>
          <w:color w:val="182827"/>
        </w:rPr>
        <w:t>the shared key that ties an analytical result to its incident does not exist at the time the sample is taken.</w:t>
      </w:r>
      <w:r>
        <w:rPr>
          <w:i w:val="0"/>
          <w:color w:val="2C3E3C"/>
        </w:rPr>
        <w:t xml:space="preserve"> It has to be </w:t>
      </w:r>
      <w:r>
        <w:rPr>
          <w:i/>
          <w:color w:val="2C3E3C"/>
        </w:rPr>
        <w:t>reconstructed later</w:t>
      </w:r>
      <w:r>
        <w:rPr>
          <w:i w:val="0"/>
          <w:color w:val="2C3E3C"/>
        </w:rPr>
        <w:t xml:space="preserve"> from weak, circumstantial signals:</w:t>
      </w:r>
    </w:p>
    <w:p>
      <w:pPr>
        <w:pStyle w:val="ListBullet"/>
        <w:spacing w:after="60"/>
      </w:pPr>
      <w:r>
        <w:rPr>
          <w:b/>
          <w:color w:val="182827"/>
        </w:rPr>
        <w:t>Fuzzy matching after the fact.</w:t>
      </w:r>
      <w:r>
        <w:rPr>
          <w:i w:val="0"/>
          <w:color w:val="2C3E3C"/>
        </w:rPr>
        <w:t xml:space="preserve"> Identity is inferred from station code, sample date, coordinates, and water-body name. The modernized system already does this — a station registry plus a “within ~2 km and ±14 days” reconciler — but that is a </w:t>
      </w:r>
      <w:r>
        <w:rPr>
          <w:i/>
          <w:color w:val="2C3E3C"/>
        </w:rPr>
        <w:t>heuristic backstop</w:t>
      </w:r>
      <w:r>
        <w:rPr>
          <w:i w:val="0"/>
          <w:color w:val="2C3E3C"/>
        </w:rPr>
        <w:t>, not ground truth. Two blooms on the same lake in the same fortnight are genuinely hard to tell apart from coordinates alone.</w:t>
      </w:r>
    </w:p>
    <w:p>
      <w:pPr>
        <w:pStyle w:val="ListBullet"/>
        <w:spacing w:after="60"/>
      </w:pPr>
      <w:r>
        <w:rPr>
          <w:b/>
          <w:color w:val="182827"/>
        </w:rPr>
        <w:t>The Chain-of-Custody carries the only authoritative location and date</w:t>
      </w:r>
      <w:r>
        <w:rPr>
          <w:i w:val="0"/>
          <w:color w:val="2C3E3C"/>
        </w:rPr>
        <w:t xml:space="preserve"> — and it arrives as paper or a rotated PDF that must be read and transcribed by hand, often long after the fact.</w:t>
      </w:r>
    </w:p>
    <w:p>
      <w:pPr>
        <w:pStyle w:val="ListBullet"/>
        <w:spacing w:after="60"/>
      </w:pPr>
      <w:r>
        <w:rPr>
          <w:b/>
          <w:color w:val="182827"/>
        </w:rPr>
        <w:t>Every party uses its own identifiers.</w:t>
      </w:r>
      <w:r>
        <w:rPr>
          <w:i w:val="0"/>
          <w:color w:val="2C3E3C"/>
        </w:rPr>
        <w:t xml:space="preserve"> The field crew, each lab, and the case file name the same sample three different ways, with no key in common.</w:t>
      </w:r>
    </w:p>
    <w:p>
      <w:pPr>
        <w:pStyle w:val="ListBullet"/>
        <w:spacing w:after="60"/>
      </w:pPr>
      <w:r>
        <w:rPr>
          <w:b/>
          <w:color w:val="182827"/>
        </w:rPr>
        <w:t>One sampling event is fragmented across records</w:t>
      </w:r>
      <w:r>
        <w:rPr>
          <w:i w:val="0"/>
          <w:color w:val="2C3E3C"/>
        </w:rPr>
        <w:t xml:space="preserve"> — grab samples to Lab A, SPATT passive samplers to Lab B, genetic assays to Lab C — with nothing declaring they belong together.</w:t>
      </w:r>
    </w:p>
    <w:p>
      <w:pPr>
        <w:spacing w:after="160"/>
      </w:pPr>
      <w:r>
        <w:rPr>
          <w:i w:val="0"/>
          <w:color w:val="2C3E3C"/>
        </w:rPr>
        <w:t xml:space="preserve">No amount of downstream cleverness fully recovers information that was never captured. The fix is to move identity </w:t>
      </w:r>
      <w:r>
        <w:rPr>
          <w:i/>
          <w:color w:val="2C3E3C"/>
        </w:rPr>
        <w:t>upstream</w:t>
      </w:r>
      <w:r>
        <w:rPr>
          <w:i w:val="0"/>
          <w:color w:val="2C3E3C"/>
        </w:rPr>
        <w:t>, to the one moment every party passes through: the act of sampling.</w:t>
      </w:r>
    </w:p>
    <w:p>
      <w:pPr>
        <w:spacing w:after="60"/>
      </w:pPr>
      <w:r>
        <w:rPr>
          <w:rFonts w:ascii="Consolas" w:hAnsi="Consolas"/>
          <w:b/>
          <w:color w:val="B4530A"/>
          <w:sz w:val="15"/>
          <w:spacing w:val="40"/>
        </w:rPr>
        <w:t>§ 03 — THE PROPOSAL</w:t>
      </w:r>
    </w:p>
    <w:p>
      <w:pPr>
        <w:pStyle w:val="Heading2"/>
      </w:pPr>
      <w:r>
        <w:t>One code, issued at sampling time, on every communication</w:t>
      </w:r>
    </w:p>
    <w:p>
      <w:pPr>
        <w:spacing w:after="160"/>
      </w:pPr>
      <w:r>
        <w:rPr>
          <w:i w:val="0"/>
          <w:color w:val="2C3E3C"/>
        </w:rPr>
        <w:t xml:space="preserve">Issue a </w:t>
      </w:r>
      <w:r>
        <w:rPr>
          <w:b/>
          <w:color w:val="182827"/>
        </w:rPr>
        <w:t>Sampling Event Code (SEC)</w:t>
      </w:r>
      <w:r>
        <w:rPr>
          <w:i w:val="0"/>
          <w:color w:val="2C3E3C"/>
        </w:rPr>
        <w:t xml:space="preserve"> the moment a sampling effort is first anticipated — </w:t>
      </w:r>
      <w:r>
        <w:rPr>
          <w:i/>
          <w:color w:val="2C3E3C"/>
        </w:rPr>
        <w:t>before</w:t>
      </w:r>
      <w:r>
        <w:rPr>
          <w:i w:val="0"/>
          <w:color w:val="2C3E3C"/>
        </w:rPr>
        <w:t xml:space="preserve"> you know the party, the sample count, or the analyses. The SEC is a short, human-usable, collision-free token that goes on </w:t>
      </w:r>
      <w:r>
        <w:rPr>
          <w:b/>
          <w:color w:val="182827"/>
        </w:rPr>
        <w:t>everything</w:t>
      </w:r>
      <w:r>
        <w:rPr>
          <w:i w:val="0"/>
          <w:color w:val="2C3E3C"/>
        </w:rPr>
        <w:t>: the sampling tasking or order, the chain-of-custody, the sample labels, the lab submission, the returned results file, the folder and file names, and the case record.</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9216"/>
            <w:gridSpan w:val="4"/>
            <w:shd w:val="clear" w:fill="12302F"/>
          </w:tcPr>
          <w:p>
            <w:pPr>
              <w:spacing w:after="40"/>
            </w:pPr>
            <w:r>
              <w:rPr>
                <w:rFonts w:ascii="Consolas" w:hAnsi="Consolas"/>
                <w:b/>
                <w:color w:val="F0A34A"/>
                <w:sz w:val="14"/>
              </w:rPr>
              <w:t>SAMPLING EVENT CODE  ·  AFFIX TO CoC &amp; EVERY DELIVERABLE</w:t>
            </w:r>
          </w:p>
          <w:p>
            <w:r>
              <w:rPr>
                <w:rFonts w:ascii="Consolas" w:hAnsi="Consolas"/>
                <w:b/>
                <w:color w:val="FFFFFF"/>
                <w:sz w:val="32"/>
              </w:rPr>
              <w:t>FHAB-R5-20260731-7QK2</w:t>
            </w:r>
          </w:p>
        </w:tc>
      </w:tr>
      <w:tr>
        <w:tc>
          <w:tcPr>
            <w:tcW w:type="dxa" w:w="2304"/>
            <w:shd w:val="clear" w:fill="12302F"/>
          </w:tcPr>
          <w:p>
            <w:r>
              <w:rPr>
                <w:rFonts w:ascii="Consolas" w:hAnsi="Consolas"/>
                <w:b/>
                <w:color w:val="F0A34A"/>
                <w:sz w:val="19"/>
              </w:rPr>
              <w:t>FHAB</w:t>
            </w:r>
          </w:p>
          <w:p>
            <w:r>
              <w:rPr>
                <w:color w:val="CFDAD3"/>
                <w:sz w:val="15"/>
              </w:rPr>
              <w:t>Program</w:t>
            </w:r>
          </w:p>
        </w:tc>
        <w:tc>
          <w:tcPr>
            <w:tcW w:type="dxa" w:w="2304"/>
            <w:shd w:val="clear" w:fill="12302F"/>
          </w:tcPr>
          <w:p>
            <w:r>
              <w:rPr>
                <w:rFonts w:ascii="Consolas" w:hAnsi="Consolas"/>
                <w:b/>
                <w:color w:val="F0A34A"/>
                <w:sz w:val="19"/>
              </w:rPr>
              <w:t>R5</w:t>
            </w:r>
          </w:p>
          <w:p>
            <w:r>
              <w:rPr>
                <w:color w:val="CFDAD3"/>
                <w:sz w:val="15"/>
              </w:rPr>
              <w:t>Regional board</w:t>
            </w:r>
          </w:p>
        </w:tc>
        <w:tc>
          <w:tcPr>
            <w:tcW w:type="dxa" w:w="2304"/>
            <w:shd w:val="clear" w:fill="12302F"/>
          </w:tcPr>
          <w:p>
            <w:r>
              <w:rPr>
                <w:rFonts w:ascii="Consolas" w:hAnsi="Consolas"/>
                <w:b/>
                <w:color w:val="F0A34A"/>
                <w:sz w:val="19"/>
              </w:rPr>
              <w:t>20260731</w:t>
            </w:r>
          </w:p>
          <w:p>
            <w:r>
              <w:rPr>
                <w:color w:val="CFDAD3"/>
                <w:sz w:val="15"/>
              </w:rPr>
              <w:t>Event opened</w:t>
            </w:r>
          </w:p>
        </w:tc>
        <w:tc>
          <w:tcPr>
            <w:tcW w:type="dxa" w:w="2304"/>
            <w:shd w:val="clear" w:fill="12302F"/>
          </w:tcPr>
          <w:p>
            <w:r>
              <w:rPr>
                <w:rFonts w:ascii="Consolas" w:hAnsi="Consolas"/>
                <w:b/>
                <w:color w:val="F0A34A"/>
                <w:sz w:val="19"/>
              </w:rPr>
              <w:t>7QK2</w:t>
            </w:r>
          </w:p>
          <w:p>
            <w:r>
              <w:rPr>
                <w:color w:val="CFDAD3"/>
                <w:sz w:val="15"/>
              </w:rPr>
              <w:t>Random + check</w:t>
            </w:r>
          </w:p>
        </w:tc>
      </w:tr>
    </w:tbl>
    <w:p>
      <w:pPr>
        <w:spacing w:after="40"/>
      </w:pPr>
    </w:p>
    <w:p>
      <w:pPr>
        <w:spacing w:after="160"/>
      </w:pPr>
      <w:r>
        <w:rPr>
          <w:i w:val="0"/>
          <w:color w:val="2C3E3C"/>
        </w:rPr>
        <w:t xml:space="preserve">The format is deliberately </w:t>
      </w:r>
      <w:r>
        <w:rPr>
          <w:b/>
          <w:color w:val="182827"/>
        </w:rPr>
        <w:t>self-describing</w:t>
      </w:r>
      <w:r>
        <w:rPr>
          <w:i w:val="0"/>
          <w:color w:val="2C3E3C"/>
        </w:rPr>
        <w:t xml:space="preserve"> so a person can sanity-check it at a glance, with a trailing check character so a mistyped code is caught at entry rather than silently mis-linked. Crucially, the SEC is </w:t>
      </w:r>
      <w:r>
        <w:rPr>
          <w:b/>
          <w:color w:val="182827"/>
        </w:rPr>
        <w:t>scope-free at issue</w:t>
      </w:r>
      <w:r>
        <w:rPr>
          <w:i w:val="0"/>
          <w:color w:val="2C3E3C"/>
        </w:rPr>
        <w:t xml:space="preserve">: the responsible party, the number of samples, the target analytes, and the destination labs all attach to the code </w:t>
      </w:r>
      <w:r>
        <w:rPr>
          <w:i/>
          <w:color w:val="2C3E3C"/>
        </w:rPr>
        <w:t>as they materialize</w:t>
      </w:r>
      <w:r>
        <w:rPr>
          <w:i w:val="0"/>
          <w:color w:val="2C3E3C"/>
        </w:rPr>
        <w:t>. You never have to know the shape of the sampling effort in advance — you only have to name it.</w:t>
      </w:r>
    </w:p>
    <w:p>
      <w:pPr>
        <w:pStyle w:val="Heading3"/>
      </w:pPr>
      <w:r>
        <w:t>It maps onto the model you already have</w:t>
      </w:r>
    </w:p>
    <w:p>
      <w:pPr>
        <w:spacing w:after="160"/>
      </w:pPr>
      <w:r>
        <w:rPr>
          <w:i w:val="0"/>
          <w:color w:val="2C3E3C"/>
        </w:rPr>
        <w:t xml:space="preserve">The SEC is the human-facing face of an identifier the database already uses. The modernized schema represents each ingested batch as a </w:t>
      </w:r>
      <w:r>
        <w:rPr>
          <w:b/>
          <w:color w:val="182827"/>
        </w:rPr>
        <w:t>Sampling Event</w:t>
      </w:r>
      <w:r>
        <w:rPr>
          <w:i w:val="0"/>
          <w:color w:val="2C3E3C"/>
        </w:rPr>
        <w:t xml:space="preserve"> with its own Sampling_Event_ID, drawn from a reserved id range (≥ 1,000,000,000) that can never collide with the integer keys published on data.ca.gov. The SEC simply </w:t>
      </w:r>
      <w:r>
        <w:rPr>
          <w:b/>
          <w:color w:val="182827"/>
        </w:rPr>
        <w:t>pre-registers</w:t>
      </w:r>
      <w:r>
        <w:rPr>
          <w:i w:val="0"/>
          <w:color w:val="2C3E3C"/>
        </w:rPr>
        <w:t xml:space="preserve"> that sampling event and pushes its identifier upstream to the field and the lab, so the batch exists </w:t>
      </w:r>
      <w:r>
        <w:rPr>
          <w:i/>
          <w:color w:val="2C3E3C"/>
        </w:rPr>
        <w:t>before</w:t>
      </w:r>
      <w:r>
        <w:rPr>
          <w:i w:val="0"/>
          <w:color w:val="2C3E3C"/>
        </w:rPr>
        <w:t xml:space="preserve"> its data arrives instead of being conjured at ingest. The relationships are already in place:</w:t>
      </w:r>
    </w:p>
    <w:p>
      <w:pPr>
        <w:jc w:val="center"/>
      </w:pPr>
      <w:r>
        <w:rPr>
          <w:rFonts w:ascii="Consolas" w:hAnsi="Consolas"/>
          <w:b/>
          <w:color w:val="0D3B3A"/>
          <w:sz w:val="20"/>
        </w:rPr>
        <w:t>Case  →  Report / Event  →  Sampling Event (SEC)  →  Sample  →  Result</w:t>
      </w:r>
    </w:p>
    <w:p>
      <w:pPr>
        <w:spacing w:after="160"/>
      </w:pPr>
      <w:r>
        <w:rPr>
          <w:i w:val="0"/>
          <w:color w:val="2C3E3C"/>
        </w:rPr>
        <w:t xml:space="preserve">A single high-concern case naturally holds </w:t>
      </w:r>
      <w:r>
        <w:rPr>
          <w:b/>
          <w:color w:val="182827"/>
        </w:rPr>
        <w:t>many</w:t>
      </w:r>
      <w:r>
        <w:rPr>
          <w:i w:val="0"/>
          <w:color w:val="2C3E3C"/>
        </w:rPr>
        <w:t xml:space="preserve"> sampling events over time — each new field effort mints a new SEC under the same case, which is exactly the “additional sampling for the cases we worry about” pattern.</w:t>
      </w:r>
    </w:p>
    <w:p>
      <w:pPr>
        <w:spacing w:after="60"/>
      </w:pPr>
      <w:r>
        <w:rPr>
          <w:rFonts w:ascii="Consolas" w:hAnsi="Consolas"/>
          <w:b/>
          <w:color w:val="B4530A"/>
          <w:sz w:val="15"/>
          <w:spacing w:val="40"/>
        </w:rPr>
        <w:t>§ 04 — THE WORKFLOW</w:t>
      </w:r>
    </w:p>
    <w:p>
      <w:pPr>
        <w:pStyle w:val="Heading2"/>
      </w:pPr>
      <w:r>
        <w:t>Pre-register, then reconcile on arrival</w:t>
      </w:r>
    </w:p>
    <w:p>
      <w:pPr>
        <w:spacing w:after="160"/>
      </w:pPr>
      <w:r>
        <w:rPr>
          <w:i w:val="0"/>
          <w:color w:val="2C3E3C"/>
        </w:rPr>
        <w:t>The SEC inverts today's order of operations. Instead of “collect data, then reconstruct identity,” the flow becomes “declare identity, then collect data against it.”</w:t>
      </w:r>
    </w:p>
    <w:p>
      <w:pPr>
        <w:spacing w:after="60"/>
      </w:pPr>
      <w:r>
        <w:rPr>
          <w:rFonts w:ascii="Consolas" w:hAnsi="Consolas"/>
          <w:b/>
          <w:color w:val="B4530A"/>
          <w:sz w:val="15"/>
          <w:spacing w:val="40"/>
        </w:rPr>
        <w:t>T0 · SAMPLING ANTICIPATED</w:t>
      </w:r>
    </w:p>
    <w:p>
      <w:pPr>
        <w:pStyle w:val="Heading3"/>
      </w:pPr>
      <w:r>
        <w:t>Open a sampling event</w:t>
      </w:r>
    </w:p>
    <w:p>
      <w:pPr>
        <w:spacing w:after="120"/>
      </w:pPr>
      <w:r>
        <w:rPr>
          <w:i w:val="0"/>
          <w:color w:val="2C3E3C"/>
        </w:rPr>
        <w:t>A staffer clicks “Start a sampling event.” The system mints the SEC and produces a pre-stamped field packet — CoC header, sample labels, and a QR code — carrying the SEC, the region, and the water body if known. Party and analyses are left blank.</w:t>
      </w:r>
    </w:p>
    <w:p>
      <w:pPr>
        <w:spacing w:after="60"/>
      </w:pPr>
      <w:r>
        <w:rPr>
          <w:rFonts w:ascii="Consolas" w:hAnsi="Consolas"/>
          <w:b/>
          <w:color w:val="B4530A"/>
          <w:sz w:val="15"/>
          <w:spacing w:val="40"/>
        </w:rPr>
        <w:t>FIELD</w:t>
      </w:r>
    </w:p>
    <w:p>
      <w:pPr>
        <w:pStyle w:val="Heading3"/>
      </w:pPr>
      <w:r>
        <w:t>Everything wears the code</w:t>
      </w:r>
    </w:p>
    <w:p>
      <w:pPr>
        <w:spacing w:after="120"/>
      </w:pPr>
      <w:r>
        <w:rPr>
          <w:i w:val="0"/>
          <w:color w:val="2C3E3C"/>
        </w:rPr>
        <w:t>Samples are labeled with the SEC; the CoC is pre-filled with it. Splits sent to different labs all carry the same SEC plus a short sample suffix, so the fragments stay a family.</w:t>
      </w:r>
    </w:p>
    <w:p>
      <w:pPr>
        <w:spacing w:after="60"/>
      </w:pPr>
      <w:r>
        <w:rPr>
          <w:rFonts w:ascii="Consolas" w:hAnsi="Consolas"/>
          <w:b/>
          <w:color w:val="B4530A"/>
          <w:sz w:val="15"/>
          <w:spacing w:val="40"/>
        </w:rPr>
        <w:t>LABORATORY</w:t>
      </w:r>
    </w:p>
    <w:p>
      <w:pPr>
        <w:pStyle w:val="Heading3"/>
      </w:pPr>
      <w:r>
        <w:t>The code rides the submission and returns</w:t>
      </w:r>
    </w:p>
    <w:p>
      <w:pPr>
        <w:spacing w:after="120"/>
      </w:pPr>
      <w:r>
        <w:rPr>
          <w:i w:val="0"/>
          <w:color w:val="2C3E3C"/>
        </w:rPr>
        <w:t>The SEC travels on the lab submission and is required back on the electronic deliverable — a dedicated field, or a filename convention. This is a one-line ask in a lab contract or SOP.</w:t>
      </w:r>
    </w:p>
    <w:p>
      <w:pPr>
        <w:spacing w:after="60"/>
      </w:pPr>
      <w:r>
        <w:rPr>
          <w:rFonts w:ascii="Consolas" w:hAnsi="Consolas"/>
          <w:b/>
          <w:color w:val="B4530A"/>
          <w:sz w:val="15"/>
          <w:spacing w:val="40"/>
        </w:rPr>
        <w:t>≈ 1 WEEK LATER · RESULTS ARRIVE</w:t>
      </w:r>
    </w:p>
    <w:p>
      <w:pPr>
        <w:pStyle w:val="Heading3"/>
      </w:pPr>
      <w:r>
        <w:t>Linking is a lookup, not a guess</w:t>
      </w:r>
    </w:p>
    <w:p>
      <w:pPr>
        <w:spacing w:after="120"/>
      </w:pPr>
      <w:r>
        <w:rPr>
          <w:i w:val="0"/>
          <w:color w:val="2C3E3C"/>
        </w:rPr>
        <w:t>Ingest matches on the SEC and auto-attaches every sample and result to the pre-registered sampling event — and thus to the case. Results that arrive without a code fall to the existing workboard reconciler as the exception path, not the default.</w:t>
      </w:r>
    </w:p>
    <w:p>
      <w:pPr>
        <w:spacing w:before="120"/>
        <w:ind w:left="360"/>
        <w:pBdr>
          <w:left w:val="single" w:sz="24" w:space="8" w:color="B4530A"/>
        </w:pBdr>
      </w:pPr>
      <w:r>
        <w:rPr>
          <w:rFonts w:ascii="Georgia" w:hAnsi="Georgia"/>
          <w:i/>
          <w:color w:val="0D3B3A"/>
          <w:sz w:val="26"/>
        </w:rPr>
        <w:t>Move the identifier to the front of the timeline, and the reconciliation work that consumes staff months mostly disappears — because it never has to happen.</w:t>
      </w:r>
    </w:p>
    <w:p>
      <w:pPr>
        <w:spacing w:after="60"/>
      </w:pPr>
      <w:r>
        <w:rPr>
          <w:rFonts w:ascii="Consolas" w:hAnsi="Consolas"/>
          <w:b/>
          <w:color w:val="B4530A"/>
          <w:sz w:val="15"/>
          <w:spacing w:val="40"/>
        </w:rPr>
        <w:t>§ 05 — BUILD VS. BUY-FORWARD</w:t>
      </w:r>
    </w:p>
    <w:p>
      <w:pPr>
        <w:pStyle w:val="Heading2"/>
      </w:pPr>
      <w:r>
        <w:t>Most of the machinery already exists</w:t>
      </w:r>
    </w:p>
    <w:p>
      <w:pPr>
        <w:spacing w:after="160"/>
      </w:pPr>
      <w:r>
        <w:rPr>
          <w:i w:val="0"/>
          <w:color w:val="2C3E3C"/>
        </w:rPr>
        <w:t>This is an increment on the modernized system, not a rebuild. The linking spine, reconciler, and provenance controls are in place; what's new is pushing the identifier upstream.</w:t>
      </w:r>
    </w:p>
    <w:tbl>
      <w:tblPr>
        <w:tblStyle w:val="LightList-Accent1"/>
        <w:tblW w:type="auto" w:w="0"/>
        <w:jc w:val="center"/>
        <w:tblLook w:firstColumn="1" w:firstRow="1" w:lastColumn="0" w:lastRow="0" w:noHBand="0" w:noVBand="1" w:val="04A0"/>
      </w:tblPr>
      <w:tblGrid>
        <w:gridCol w:w="3072"/>
        <w:gridCol w:w="3072"/>
        <w:gridCol w:w="3072"/>
      </w:tblGrid>
      <w:tr>
        <w:tc>
          <w:tcPr>
            <w:tcW w:type="dxa" w:w="3072"/>
            <w:shd w:val="clear" w:fill="0D3B3A"/>
          </w:tcPr>
          <w:p>
            <w:r>
              <w:rPr>
                <w:rFonts w:ascii="Consolas" w:hAnsi="Consolas"/>
                <w:b/>
                <w:color w:val="FFFFFF"/>
                <w:sz w:val="15"/>
              </w:rPr>
              <w:t>Capability</w:t>
            </w:r>
          </w:p>
        </w:tc>
        <w:tc>
          <w:tcPr>
            <w:tcW w:type="dxa" w:w="3072"/>
            <w:shd w:val="clear" w:fill="0D3B3A"/>
          </w:tcPr>
          <w:p>
            <w:r>
              <w:rPr>
                <w:rFonts w:ascii="Consolas" w:hAnsi="Consolas"/>
                <w:b/>
                <w:color w:val="FFFFFF"/>
                <w:sz w:val="15"/>
              </w:rPr>
              <w:t>Status</w:t>
            </w:r>
          </w:p>
        </w:tc>
        <w:tc>
          <w:tcPr>
            <w:tcW w:type="dxa" w:w="3072"/>
            <w:shd w:val="clear" w:fill="0D3B3A"/>
          </w:tcPr>
          <w:p>
            <w:r>
              <w:rPr>
                <w:rFonts w:ascii="Consolas" w:hAnsi="Consolas"/>
                <w:b/>
                <w:color w:val="FFFFFF"/>
                <w:sz w:val="15"/>
              </w:rPr>
              <w:t>Role in the SEC workflow</w:t>
            </w:r>
          </w:p>
        </w:tc>
      </w:tr>
      <w:tr>
        <w:tc>
          <w:tcPr>
            <w:tcW w:type="dxa" w:w="3072"/>
          </w:tcPr>
          <w:p>
            <w:r>
              <w:rPr>
                <w:color w:val="2C3E3C"/>
                <w:sz w:val="17"/>
              </w:rPr>
              <w:t>Sampling Event batch + Sampling_Event_ID</w:t>
            </w:r>
          </w:p>
        </w:tc>
        <w:tc>
          <w:tcPr>
            <w:tcW w:type="dxa" w:w="3072"/>
          </w:tcPr>
          <w:p>
            <w:r>
              <w:rPr>
                <w:b/>
                <w:color w:val="2F7D5B"/>
                <w:sz w:val="17"/>
              </w:rPr>
              <w:t>In place</w:t>
            </w:r>
          </w:p>
        </w:tc>
        <w:tc>
          <w:tcPr>
            <w:tcW w:type="dxa" w:w="3072"/>
          </w:tcPr>
          <w:p>
            <w:r>
              <w:rPr>
                <w:color w:val="2C3E3C"/>
                <w:sz w:val="17"/>
              </w:rPr>
              <w:t>Becomes the record the SEC pre-registers</w:t>
            </w:r>
          </w:p>
        </w:tc>
      </w:tr>
      <w:tr>
        <w:tc>
          <w:tcPr>
            <w:tcW w:type="dxa" w:w="3072"/>
          </w:tcPr>
          <w:p>
            <w:r>
              <w:rPr>
                <w:color w:val="2C3E3C"/>
                <w:sz w:val="17"/>
              </w:rPr>
              <w:t>Reserved id range (≥ 1e9)</w:t>
            </w:r>
          </w:p>
        </w:tc>
        <w:tc>
          <w:tcPr>
            <w:tcW w:type="dxa" w:w="3072"/>
          </w:tcPr>
          <w:p>
            <w:r>
              <w:rPr>
                <w:b/>
                <w:color w:val="2F7D5B"/>
                <w:sz w:val="17"/>
              </w:rPr>
              <w:t>In place</w:t>
            </w:r>
          </w:p>
        </w:tc>
        <w:tc>
          <w:tcPr>
            <w:tcW w:type="dxa" w:w="3072"/>
          </w:tcPr>
          <w:p>
            <w:r>
              <w:rPr>
                <w:color w:val="2C3E3C"/>
                <w:sz w:val="17"/>
              </w:rPr>
              <w:t>Mints SECs that never collide with published ids</w:t>
            </w:r>
          </w:p>
        </w:tc>
      </w:tr>
      <w:tr>
        <w:tc>
          <w:tcPr>
            <w:tcW w:type="dxa" w:w="3072"/>
          </w:tcPr>
          <w:p>
            <w:r>
              <w:rPr>
                <w:color w:val="2C3E3C"/>
                <w:sz w:val="17"/>
              </w:rPr>
              <w:t>Station registry (shared codes)</w:t>
            </w:r>
          </w:p>
        </w:tc>
        <w:tc>
          <w:tcPr>
            <w:tcW w:type="dxa" w:w="3072"/>
          </w:tcPr>
          <w:p>
            <w:r>
              <w:rPr>
                <w:b/>
                <w:color w:val="2F7D5B"/>
                <w:sz w:val="17"/>
              </w:rPr>
              <w:t>In place</w:t>
            </w:r>
          </w:p>
        </w:tc>
        <w:tc>
          <w:tcPr>
            <w:tcW w:type="dxa" w:w="3072"/>
          </w:tcPr>
          <w:p>
            <w:r>
              <w:rPr>
                <w:color w:val="2C3E3C"/>
                <w:sz w:val="17"/>
              </w:rPr>
              <w:t>Common location vocabulary for field &amp; labs</w:t>
            </w:r>
          </w:p>
        </w:tc>
      </w:tr>
      <w:tr>
        <w:tc>
          <w:tcPr>
            <w:tcW w:type="dxa" w:w="3072"/>
          </w:tcPr>
          <w:p>
            <w:r>
              <w:rPr>
                <w:color w:val="2C3E3C"/>
                <w:sz w:val="17"/>
              </w:rPr>
              <w:t>Workboard reconciler (2 km / ±14 d)</w:t>
            </w:r>
          </w:p>
        </w:tc>
        <w:tc>
          <w:tcPr>
            <w:tcW w:type="dxa" w:w="3072"/>
          </w:tcPr>
          <w:p>
            <w:r>
              <w:rPr>
                <w:b/>
                <w:color w:val="2F7D5B"/>
                <w:sz w:val="17"/>
              </w:rPr>
              <w:t>In place</w:t>
            </w:r>
          </w:p>
        </w:tc>
        <w:tc>
          <w:tcPr>
            <w:tcW w:type="dxa" w:w="3072"/>
          </w:tcPr>
          <w:p>
            <w:r>
              <w:rPr>
                <w:color w:val="2C3E3C"/>
                <w:sz w:val="17"/>
              </w:rPr>
              <w:t>Fallback for uncoded / legacy data</w:t>
            </w:r>
          </w:p>
        </w:tc>
      </w:tr>
      <w:tr>
        <w:tc>
          <w:tcPr>
            <w:tcW w:type="dxa" w:w="3072"/>
          </w:tcPr>
          <w:p>
            <w:r>
              <w:rPr>
                <w:color w:val="2C3E3C"/>
                <w:sz w:val="17"/>
              </w:rPr>
              <w:t>Duplicate detect &amp; merge</w:t>
            </w:r>
          </w:p>
        </w:tc>
        <w:tc>
          <w:tcPr>
            <w:tcW w:type="dxa" w:w="3072"/>
          </w:tcPr>
          <w:p>
            <w:r>
              <w:rPr>
                <w:b/>
                <w:color w:val="2F7D5B"/>
                <w:sz w:val="17"/>
              </w:rPr>
              <w:t>In place</w:t>
            </w:r>
          </w:p>
        </w:tc>
        <w:tc>
          <w:tcPr>
            <w:tcW w:type="dxa" w:w="3072"/>
          </w:tcPr>
          <w:p>
            <w:r>
              <w:rPr>
                <w:color w:val="2C3E3C"/>
                <w:sz w:val="17"/>
              </w:rPr>
              <w:t>Trivial once an SEC is present</w:t>
            </w:r>
          </w:p>
        </w:tc>
      </w:tr>
      <w:tr>
        <w:tc>
          <w:tcPr>
            <w:tcW w:type="dxa" w:w="3072"/>
          </w:tcPr>
          <w:p>
            <w:r>
              <w:rPr>
                <w:color w:val="2C3E3C"/>
                <w:sz w:val="17"/>
              </w:rPr>
              <w:t>Provenance &amp; row-level audit</w:t>
            </w:r>
          </w:p>
        </w:tc>
        <w:tc>
          <w:tcPr>
            <w:tcW w:type="dxa" w:w="3072"/>
          </w:tcPr>
          <w:p>
            <w:r>
              <w:rPr>
                <w:b/>
                <w:color w:val="2F7D5B"/>
                <w:sz w:val="17"/>
              </w:rPr>
              <w:t>In place</w:t>
            </w:r>
          </w:p>
        </w:tc>
        <w:tc>
          <w:tcPr>
            <w:tcW w:type="dxa" w:w="3072"/>
          </w:tcPr>
          <w:p>
            <w:r>
              <w:rPr>
                <w:color w:val="2C3E3C"/>
                <w:sz w:val="17"/>
              </w:rPr>
              <w:t>Every SEC-linked ingest is attributable</w:t>
            </w:r>
          </w:p>
        </w:tc>
      </w:tr>
      <w:tr>
        <w:tc>
          <w:tcPr>
            <w:tcW w:type="dxa" w:w="3072"/>
          </w:tcPr>
          <w:p>
            <w:r>
              <w:rPr>
                <w:color w:val="2C3E3C"/>
                <w:sz w:val="17"/>
              </w:rPr>
              <w:t>Pre-issued SEC + printable field packet</w:t>
            </w:r>
          </w:p>
        </w:tc>
        <w:tc>
          <w:tcPr>
            <w:tcW w:type="dxa" w:w="3072"/>
          </w:tcPr>
          <w:p>
            <w:r>
              <w:rPr>
                <w:b/>
                <w:color w:val="B4530A"/>
                <w:sz w:val="17"/>
              </w:rPr>
              <w:t>To add</w:t>
            </w:r>
          </w:p>
        </w:tc>
        <w:tc>
          <w:tcPr>
            <w:tcW w:type="dxa" w:w="3072"/>
          </w:tcPr>
          <w:p>
            <w:r>
              <w:rPr>
                <w:color w:val="2C3E3C"/>
                <w:sz w:val="17"/>
              </w:rPr>
              <w:t>The front door of the workflow</w:t>
            </w:r>
          </w:p>
        </w:tc>
      </w:tr>
      <w:tr>
        <w:tc>
          <w:tcPr>
            <w:tcW w:type="dxa" w:w="3072"/>
          </w:tcPr>
          <w:p>
            <w:r>
              <w:rPr>
                <w:color w:val="2C3E3C"/>
                <w:sz w:val="17"/>
              </w:rPr>
              <w:t>Lab EDD template + “return the code” clause</w:t>
            </w:r>
          </w:p>
        </w:tc>
        <w:tc>
          <w:tcPr>
            <w:tcW w:type="dxa" w:w="3072"/>
          </w:tcPr>
          <w:p>
            <w:r>
              <w:rPr>
                <w:b/>
                <w:color w:val="B4530A"/>
                <w:sz w:val="17"/>
              </w:rPr>
              <w:t>To add</w:t>
            </w:r>
          </w:p>
        </w:tc>
        <w:tc>
          <w:tcPr>
            <w:tcW w:type="dxa" w:w="3072"/>
          </w:tcPr>
          <w:p>
            <w:r>
              <w:rPr>
                <w:color w:val="2C3E3C"/>
                <w:sz w:val="17"/>
              </w:rPr>
              <w:t>Guarantees the code comes home</w:t>
            </w:r>
          </w:p>
        </w:tc>
      </w:tr>
      <w:tr>
        <w:tc>
          <w:tcPr>
            <w:tcW w:type="dxa" w:w="3072"/>
          </w:tcPr>
          <w:p>
            <w:r>
              <w:rPr>
                <w:color w:val="2C3E3C"/>
                <w:sz w:val="17"/>
              </w:rPr>
              <w:t>SEC auto-match on ingest</w:t>
            </w:r>
          </w:p>
        </w:tc>
        <w:tc>
          <w:tcPr>
            <w:tcW w:type="dxa" w:w="3072"/>
          </w:tcPr>
          <w:p>
            <w:r>
              <w:rPr>
                <w:b/>
                <w:color w:val="B4530A"/>
                <w:sz w:val="17"/>
              </w:rPr>
              <w:t>To add</w:t>
            </w:r>
          </w:p>
        </w:tc>
        <w:tc>
          <w:tcPr>
            <w:tcW w:type="dxa" w:w="3072"/>
          </w:tcPr>
          <w:p>
            <w:r>
              <w:rPr>
                <w:color w:val="2C3E3C"/>
                <w:sz w:val="17"/>
              </w:rPr>
              <w:t>Turns linking into a lookup</w:t>
            </w:r>
          </w:p>
        </w:tc>
      </w:tr>
      <w:tr>
        <w:tc>
          <w:tcPr>
            <w:tcW w:type="dxa" w:w="3072"/>
          </w:tcPr>
          <w:p>
            <w:r>
              <w:rPr>
                <w:color w:val="2C3E3C"/>
                <w:sz w:val="17"/>
              </w:rPr>
              <w:t>QR labels / mobile CoC capture</w:t>
            </w:r>
          </w:p>
        </w:tc>
        <w:tc>
          <w:tcPr>
            <w:tcW w:type="dxa" w:w="3072"/>
          </w:tcPr>
          <w:p>
            <w:r>
              <w:rPr>
                <w:b/>
                <w:color w:val="B4530A"/>
                <w:sz w:val="17"/>
              </w:rPr>
              <w:t>Later</w:t>
            </w:r>
          </w:p>
        </w:tc>
        <w:tc>
          <w:tcPr>
            <w:tcW w:type="dxa" w:w="3072"/>
          </w:tcPr>
          <w:p>
            <w:r>
              <w:rPr>
                <w:color w:val="2C3E3C"/>
                <w:sz w:val="17"/>
              </w:rPr>
              <w:t>Removes hand-transcription entirely</w:t>
            </w:r>
          </w:p>
        </w:tc>
      </w:tr>
    </w:tbl>
    <w:p>
      <w:pPr>
        <w:spacing w:after="60"/>
      </w:pPr>
      <w:r>
        <w:rPr>
          <w:rFonts w:ascii="Consolas" w:hAnsi="Consolas"/>
          <w:b/>
          <w:color w:val="B4530A"/>
          <w:sz w:val="15"/>
          <w:spacing w:val="40"/>
        </w:rPr>
        <w:t>§ 06 — SUPPORTING PRACTICES</w:t>
      </w:r>
    </w:p>
    <w:p>
      <w:pPr>
        <w:pStyle w:val="Heading2"/>
      </w:pPr>
      <w:r>
        <w:t>Habits that make the code stick</w:t>
      </w:r>
    </w:p>
    <w:p>
      <w:pPr>
        <w:pStyle w:val="ListBullet"/>
        <w:spacing w:after="60"/>
      </w:pPr>
      <w:r>
        <w:rPr>
          <w:b/>
          <w:color w:val="182827"/>
        </w:rPr>
        <w:t>One code, every communication.</w:t>
      </w:r>
      <w:r>
        <w:rPr>
          <w:i w:val="0"/>
          <w:color w:val="2C3E3C"/>
        </w:rPr>
        <w:t xml:space="preserve"> The SEC belongs on the CoC, the sample order, the lab deliverable, and the folder and file names — plus a scannable QR/barcode for one-tap linking.</w:t>
      </w:r>
    </w:p>
    <w:p>
      <w:pPr>
        <w:pStyle w:val="ListBullet"/>
        <w:spacing w:after="60"/>
      </w:pPr>
      <w:r>
        <w:rPr>
          <w:b/>
          <w:color w:val="182827"/>
        </w:rPr>
        <w:t>Standardize the deliverable.</w:t>
      </w:r>
      <w:r>
        <w:rPr>
          <w:i w:val="0"/>
          <w:color w:val="2C3E3C"/>
        </w:rPr>
        <w:t xml:space="preserve"> Ask labs for a CEDEN-aligned electronic data deliverable carrying the SEC and station code, instead of a PDF to be transcribed. Provide a template; make it the default in agreements.</w:t>
      </w:r>
    </w:p>
    <w:p>
      <w:pPr>
        <w:pStyle w:val="ListBullet"/>
        <w:spacing w:after="60"/>
      </w:pPr>
      <w:r>
        <w:rPr>
          <w:b/>
          <w:color w:val="182827"/>
        </w:rPr>
        <w:t>Capture the CoC as data at T0.</w:t>
      </w:r>
      <w:r>
        <w:rPr>
          <w:i w:val="0"/>
          <w:color w:val="2C3E3C"/>
        </w:rPr>
        <w:t xml:space="preserve"> A mobile chain-of-custody form stamped with the SEC makes the authoritative location and date digital from the first minute — ending the rotated-PDF-and-retype problem.</w:t>
      </w:r>
    </w:p>
    <w:p>
      <w:pPr>
        <w:pStyle w:val="ListBullet"/>
        <w:spacing w:after="60"/>
      </w:pPr>
      <w:r>
        <w:rPr>
          <w:b/>
          <w:color w:val="182827"/>
        </w:rPr>
        <w:t>Share the station registry.</w:t>
      </w:r>
      <w:r>
        <w:rPr>
          <w:i w:val="0"/>
          <w:color w:val="2C3E3C"/>
        </w:rPr>
        <w:t xml:space="preserve"> When field crews and labs draw station codes from the same published list, locations line up by construction.</w:t>
      </w:r>
    </w:p>
    <w:p>
      <w:pPr>
        <w:pStyle w:val="ListBullet"/>
        <w:spacing w:after="60"/>
      </w:pPr>
      <w:r>
        <w:rPr>
          <w:b/>
          <w:color w:val="182827"/>
        </w:rPr>
        <w:t>Keep the reconciler forever.</w:t>
      </w:r>
      <w:r>
        <w:rPr>
          <w:i w:val="0"/>
          <w:color w:val="2C3E3C"/>
        </w:rPr>
        <w:t xml:space="preserve"> Legacy folders and the occasional un-coded submission will always exist; the heuristic matcher remains the safety net beneath the code.</w:t>
      </w:r>
    </w:p>
    <w:p>
      <w:pPr>
        <w:spacing w:after="60"/>
      </w:pPr>
      <w:r>
        <w:rPr>
          <w:rFonts w:ascii="Consolas" w:hAnsi="Consolas"/>
          <w:b/>
          <w:color w:val="B4530A"/>
          <w:sz w:val="15"/>
          <w:spacing w:val="40"/>
        </w:rPr>
        <w:t>§ 07 — WHY IT'S WORTH IT</w:t>
      </w:r>
    </w:p>
    <w:p>
      <w:pPr>
        <w:pStyle w:val="Heading2"/>
      </w:pPr>
      <w:r>
        <w:t>What good looks like</w:t>
      </w:r>
    </w:p>
    <w:tbl>
      <w:tblPr>
        <w:tblW w:type="auto" w:w="0"/>
        <w:jc w:val="center"/>
        <w:tblLook w:firstColumn="1" w:firstRow="1" w:lastColumn="0" w:lastRow="0" w:noHBand="0" w:noVBand="1" w:val="04A0"/>
      </w:tblPr>
      <w:tblGrid>
        <w:gridCol w:w="2304"/>
        <w:gridCol w:w="2304"/>
        <w:gridCol w:w="2304"/>
        <w:gridCol w:w="2304"/>
      </w:tblGrid>
      <w:tr>
        <w:tc>
          <w:tcPr>
            <w:tcW w:type="dxa" w:w="2304"/>
            <w:shd w:val="clear" w:fill="F3F6F5"/>
          </w:tcPr>
          <w:p>
            <w:r>
              <w:rPr>
                <w:rFonts w:ascii="Georgia" w:hAnsi="Georgia"/>
                <w:b/>
                <w:color w:val="0D3B3A"/>
                <w:sz w:val="26"/>
              </w:rPr>
              <w:t>months → same-week</w:t>
            </w:r>
          </w:p>
          <w:p>
            <w:r>
              <w:rPr>
                <w:color w:val="4A5C5A"/>
                <w:sz w:val="16"/>
              </w:rPr>
              <w:t>Time to link a result to its case</w:t>
            </w:r>
          </w:p>
        </w:tc>
        <w:tc>
          <w:tcPr>
            <w:tcW w:type="dxa" w:w="2304"/>
            <w:shd w:val="clear" w:fill="F3F6F5"/>
          </w:tcPr>
          <w:p>
            <w:r>
              <w:rPr>
                <w:rFonts w:ascii="Georgia" w:hAnsi="Georgia"/>
                <w:b/>
                <w:color w:val="0D3B3A"/>
                <w:sz w:val="26"/>
              </w:rPr>
              <w:t>&gt; 90%</w:t>
            </w:r>
          </w:p>
          <w:p>
            <w:r>
              <w:rPr>
                <w:color w:val="4A5C5A"/>
                <w:sz w:val="16"/>
              </w:rPr>
              <w:t>Results auto-linked on arrival (target)</w:t>
            </w:r>
          </w:p>
        </w:tc>
        <w:tc>
          <w:tcPr>
            <w:tcW w:type="dxa" w:w="2304"/>
            <w:shd w:val="clear" w:fill="F3F6F5"/>
          </w:tcPr>
          <w:p>
            <w:r>
              <w:rPr>
                <w:rFonts w:ascii="Georgia" w:hAnsi="Georgia"/>
                <w:b/>
                <w:color w:val="0D3B3A"/>
                <w:sz w:val="26"/>
              </w:rPr>
              <w:t>↓ duplicates</w:t>
            </w:r>
          </w:p>
          <w:p>
            <w:r>
              <w:rPr>
                <w:color w:val="4A5C5A"/>
                <w:sz w:val="16"/>
              </w:rPr>
              <w:t>One code makes doubles obvious</w:t>
            </w:r>
          </w:p>
        </w:tc>
        <w:tc>
          <w:tcPr>
            <w:tcW w:type="dxa" w:w="2304"/>
            <w:shd w:val="clear" w:fill="F3F6F5"/>
          </w:tcPr>
          <w:p>
            <w:r>
              <w:rPr>
                <w:rFonts w:ascii="Georgia" w:hAnsi="Georgia"/>
                <w:b/>
                <w:color w:val="0D3B3A"/>
                <w:sz w:val="26"/>
              </w:rPr>
              <w:t>↑ speed</w:t>
            </w:r>
          </w:p>
          <w:p>
            <w:r>
              <w:rPr>
                <w:color w:val="4A5C5A"/>
                <w:sz w:val="16"/>
              </w:rPr>
              <w:t>Faster path to authoritative public data</w:t>
            </w:r>
          </w:p>
        </w:tc>
      </w:tr>
    </w:tbl>
    <w:p>
      <w:pPr>
        <w:spacing w:after="40"/>
      </w:pPr>
    </w:p>
    <w:p>
      <w:pPr>
        <w:spacing w:after="160"/>
      </w:pPr>
      <w:r>
        <w:rPr>
          <w:i w:val="0"/>
          <w:color w:val="2C3E3C"/>
        </w:rPr>
        <w:t>Beyond the numbers: complete provenance for every result, far less staff time spent on folder archaeology, and the confidence that a determination or advisory rests on evidence that is unambiguously tied to its incident.</w:t>
      </w:r>
    </w:p>
    <w:p>
      <w:pPr>
        <w:spacing w:after="60"/>
      </w:pPr>
      <w:r>
        <w:rPr>
          <w:rFonts w:ascii="Consolas" w:hAnsi="Consolas"/>
          <w:b/>
          <w:color w:val="B4530A"/>
          <w:sz w:val="15"/>
          <w:spacing w:val="40"/>
        </w:rPr>
        <w:t>§ 08 — GETTING THERE</w:t>
      </w:r>
    </w:p>
    <w:p>
      <w:pPr>
        <w:pStyle w:val="Heading2"/>
      </w:pPr>
      <w:r>
        <w:t>A phased, low-risk rollout</w:t>
      </w:r>
    </w:p>
    <w:p>
      <w:pPr>
        <w:spacing w:after="40"/>
      </w:pPr>
      <w:r>
        <w:rPr>
          <w:rFonts w:ascii="Consolas" w:hAnsi="Consolas"/>
          <w:b/>
          <w:color w:val="B4530A"/>
          <w:sz w:val="18"/>
        </w:rPr>
        <w:t xml:space="preserve">Phase 1   </w:t>
      </w:r>
      <w:r>
        <w:rPr>
          <w:b/>
          <w:color w:val="182827"/>
          <w:sz w:val="21"/>
        </w:rPr>
        <w:t>Mint &amp; match (now)</w:t>
      </w:r>
    </w:p>
    <w:p>
      <w:pPr>
        <w:spacing w:after="160"/>
      </w:pPr>
      <w:r>
        <w:rPr>
          <w:i w:val="0"/>
          <w:color w:val="2C3E3C"/>
        </w:rPr>
        <w:t>Generate the SEC in the app, print it on a CoC cover sheet and sample labels, ask labs to return it, and auto-link on an SEC match at ingest. Uses the sampling-event batch and reconciler that already exist — no field hardware required.</w:t>
      </w:r>
    </w:p>
    <w:p>
      <w:pPr>
        <w:spacing w:after="40"/>
      </w:pPr>
      <w:r>
        <w:rPr>
          <w:rFonts w:ascii="Consolas" w:hAnsi="Consolas"/>
          <w:b/>
          <w:color w:val="B4530A"/>
          <w:sz w:val="18"/>
        </w:rPr>
        <w:t xml:space="preserve">Phase 2   </w:t>
      </w:r>
      <w:r>
        <w:rPr>
          <w:b/>
          <w:color w:val="182827"/>
          <w:sz w:val="21"/>
        </w:rPr>
        <w:t>Scan &amp; standardize</w:t>
      </w:r>
    </w:p>
    <w:p>
      <w:pPr>
        <w:spacing w:after="160"/>
      </w:pPr>
      <w:r>
        <w:rPr>
          <w:i w:val="0"/>
          <w:color w:val="2C3E3C"/>
        </w:rPr>
        <w:t>Add QR labels and a mobile CoC form for digital capture at T0, and publish a CEDEN-aligned lab deliverable template so results arrive machine-ready.</w:t>
      </w:r>
    </w:p>
    <w:p>
      <w:pPr>
        <w:spacing w:after="40"/>
      </w:pPr>
      <w:r>
        <w:rPr>
          <w:rFonts w:ascii="Consolas" w:hAnsi="Consolas"/>
          <w:b/>
          <w:color w:val="B4530A"/>
          <w:sz w:val="18"/>
        </w:rPr>
        <w:t xml:space="preserve">Phase 3   </w:t>
      </w:r>
      <w:r>
        <w:rPr>
          <w:b/>
          <w:color w:val="182827"/>
          <w:sz w:val="21"/>
        </w:rPr>
        <w:t>Direct submission</w:t>
      </w:r>
    </w:p>
    <w:p>
      <w:pPr>
        <w:spacing w:after="160"/>
      </w:pPr>
      <w:r>
        <w:rPr>
          <w:i w:val="0"/>
          <w:color w:val="2C3E3C"/>
        </w:rPr>
        <w:t>Offer partners and labs a portal or API to submit deliverables keyed by SEC, closing the loop from field to public data with no manual hop.</w:t>
      </w:r>
    </w:p>
    <w:p>
      <w:pPr>
        <w:spacing w:after="60"/>
      </w:pPr>
      <w:r>
        <w:rPr>
          <w:rFonts w:ascii="Consolas" w:hAnsi="Consolas"/>
          <w:b/>
          <w:color w:val="B4530A"/>
          <w:sz w:val="15"/>
          <w:spacing w:val="40"/>
        </w:rPr>
        <w:t>§ 09 — HONEST LIMITS</w:t>
      </w:r>
    </w:p>
    <w:p>
      <w:pPr>
        <w:pStyle w:val="Heading2"/>
      </w:pPr>
      <w:r>
        <w:t>Risks &amp; how we blunt them</w:t>
      </w:r>
    </w:p>
    <w:p>
      <w:pPr>
        <w:pStyle w:val="ListBullet"/>
        <w:spacing w:after="60"/>
      </w:pPr>
      <w:r>
        <w:rPr>
          <w:b/>
          <w:color w:val="182827"/>
        </w:rPr>
        <w:t>Adoption depends on people using the code.</w:t>
      </w:r>
      <w:r>
        <w:rPr>
          <w:i w:val="0"/>
          <w:color w:val="2C3E3C"/>
        </w:rPr>
        <w:t xml:space="preserve"> Mitigate by making the SEC the path of least resistance — pre-printed packets, a one-click issue button, and a “return the code” clause in lab agreements — with the reconciler catching whatever slips through.</w:t>
      </w:r>
    </w:p>
    <w:p>
      <w:pPr>
        <w:pStyle w:val="ListBullet"/>
        <w:spacing w:after="60"/>
      </w:pPr>
      <w:r>
        <w:rPr>
          <w:b/>
          <w:color w:val="182827"/>
        </w:rPr>
        <w:t>Parties who don't coordinate.</w:t>
      </w:r>
      <w:r>
        <w:rPr>
          <w:i w:val="0"/>
          <w:color w:val="2C3E3C"/>
        </w:rPr>
        <w:t xml:space="preserve"> Whoever opens the incident can issue and share the SEC; where several parties sample independently, each event gets its own SEC and all of them reconcile cleanly under one case.</w:t>
      </w:r>
    </w:p>
    <w:p>
      <w:pPr>
        <w:pStyle w:val="ListBullet"/>
        <w:spacing w:after="60"/>
      </w:pPr>
      <w:r>
        <w:rPr>
          <w:b/>
          <w:color w:val="182827"/>
        </w:rPr>
        <w:t>Legacy data.</w:t>
      </w:r>
      <w:r>
        <w:rPr>
          <w:i w:val="0"/>
          <w:color w:val="2C3E3C"/>
        </w:rPr>
        <w:t xml:space="preserve"> Everything already in folders keeps flowing through the existing heuristic matcher; the SEC changes the future, not the past.</w:t>
      </w:r>
    </w:p>
    <w:p>
      <w:pPr>
        <w:spacing w:after="60"/>
      </w:pPr>
      <w:r>
        <w:rPr>
          <w:rFonts w:ascii="Consolas" w:hAnsi="Consolas"/>
          <w:b/>
          <w:color w:val="B4530A"/>
          <w:sz w:val="15"/>
          <w:spacing w:val="40"/>
        </w:rPr>
        <w:t>§ 10 — RECOMMENDATION</w:t>
      </w:r>
    </w:p>
    <w:p>
      <w:pPr>
        <w:pStyle w:val="Heading2"/>
      </w:pPr>
      <w:r>
        <w:t>Adopt the Sampling Event Code as the linking spine</w:t>
      </w:r>
    </w:p>
    <w:p>
      <w:pPr>
        <w:spacing w:after="160"/>
      </w:pPr>
      <w:r>
        <w:rPr>
          <w:i w:val="0"/>
          <w:color w:val="2C3E3C"/>
        </w:rPr>
        <w:t>Pre-register every sampling event and push its code upstream to the field and the labs; standardize the electronic deliverable so the code comes home; and keep heuristic reconciliation as the exception path, not the default. The database is already built for it — the SEC simply lets us capture, at the one moment every party shares, the small piece of information that today we spend months trying to recover.</w:t>
      </w:r>
    </w:p>
    <w:p>
      <w:pPr>
        <w:spacing w:before="20" w:after="120"/>
        <w:pBdr>
          <w:bottom w:val="single" w:sz="12" w:space="1" w:color="0D3B3A"/>
        </w:pBdr>
      </w:pPr>
    </w:p>
    <w:p>
      <w:r>
        <w:rPr>
          <w:b/>
          <w:color w:val="182827"/>
          <w:sz w:val="18"/>
        </w:rPr>
        <w:t xml:space="preserve">Draft for discussion. </w:t>
      </w:r>
      <w:r>
        <w:rPr>
          <w:color w:val="4A5C5A"/>
          <w:sz w:val="18"/>
        </w:rPr>
        <w:t>Prepared from the FHAB Database Modernization project's data-governance perspective as input to program and Regional Water Board planning. Terminology (report / event / case / response / advisory, Sampling Event, station registry) follows the modernized FHAB schema and the published CA FHAB data model.</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C3E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D3B3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0D3B3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182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