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BAC" w:rsidRPr="00091C18" w:rsidRDefault="00091C18">
      <w:pPr>
        <w:rPr>
          <w:b/>
        </w:rPr>
      </w:pPr>
      <w:r w:rsidRPr="00091C18">
        <w:rPr>
          <w:b/>
        </w:rPr>
        <w:t>Modelling of uranium supply in WILIAM</w:t>
      </w:r>
    </w:p>
    <w:p w:rsidR="001E7969" w:rsidRDefault="00091C18">
      <w:r w:rsidRPr="00775A3C">
        <w:t>A stylized approach based on maximum supply</w:t>
      </w:r>
      <w:r w:rsidR="001E7969" w:rsidRPr="00775A3C">
        <w:t xml:space="preserve"> curves was applied to uranium</w:t>
      </w:r>
      <w:r w:rsidRPr="00775A3C">
        <w:t>.</w:t>
      </w:r>
      <w:r w:rsidR="001E7969" w:rsidRPr="00775A3C">
        <w:t xml:space="preserve"> Uranium extraction is constrained by a global maximum supply curve which is a curve of maximum energy extraction rate as </w:t>
      </w:r>
      <w:r w:rsidR="001E7969" w:rsidRPr="001E7969">
        <w:t xml:space="preserve">a function of time (cf. Appendix B in </w:t>
      </w:r>
      <w:r w:rsidR="001E7969">
        <w:fldChar w:fldCharType="begin"/>
      </w:r>
      <w:r w:rsidR="001E7969">
        <w:instrText xml:space="preserve"> ADDIN ZOTERO_ITEM CSL_CITATION {"citationID":"TEnDSFHD","properties":{"formattedCitation":"(Capell\\uc0\\u225{}n-P\\uc0\\u233{}rez et al., 2014)","plainCitation":"(Capellán-Pérez et al., 2014)","noteIndex":0},"citationItems":[{"id":3676,"uris":["http://zotero.org/users/1230991/items/RTJ2ZCVT"],"itemData":{"id":3676,"type":"article-journal","abstract":"The progressive reduction of high-quality-easy-to-extract energy is a widely recognized and already ongoing process. Although depletion studies for individual fuels are relatively abundant, few of them offer a global perspective of all energy sources and their potential future developments, and even fewer include the demand of the socio-economic system.\n\nThis paper presents an Economy-Energy-Environment model based on System Dynamics which integrates all those aspects: the physical restrictions (with peak estimations for oil, gas, coal and uranium), the techno-sustainable potential of renewable energy estimated by a novel top-down methodology, the socio-economic energy demands, the development of alternative technologies and the net CO2 emissions.\n\nWe confront our model with the basic assumptions of previous Global Environmental Assessment (GEA) studies. The results show that demand-driven evolution, as performed in the past, might be unfeasible: strong energy-supply scarcity is found in the next two decades, especially in the transportation sector before 2020. Electricity generation is unable to fulfill its demand in 2025–2040, and a large expansion of electric renewable energies move us close to their limits. In order to find achievable scenarios, we are obliged to set hypotheses which are hardly used in GEA scenarios, such as zero or negative economic growth.","container-title":"Energy","DOI":"10.1016/j.energy.2014.09.063","ISSN":"0360-5442","journalAbbreviation":"Energy","page":"641-666","source":"ScienceDirect","title":"Fossil fuel depletion and socio-economic scenarios: An integrated approach","title-short":"Fossil fuel depletion and socio-economic scenarios","volume":"77","author":[{"family":"Capellán-Pérez","given":"Iñigo"},{"family":"Mediavilla","given":"Margarita"},{"family":"Castro","given":"Carlos","non-dropping-particle":"de"},{"family":"Carpintero","given":"Óscar"},{"family":"Miguel","given":"Luis Javier"}],"issued":{"date-parts":[["2014",12,1]]}}}],"schema":"https://github.com/citation-style-language/schema/raw/master/csl-citation.json"} </w:instrText>
      </w:r>
      <w:r w:rsidR="001E7969">
        <w:fldChar w:fldCharType="separate"/>
      </w:r>
      <w:r w:rsidR="001E7969" w:rsidRPr="001E7969">
        <w:rPr>
          <w:rFonts w:ascii="Calibri" w:hAnsi="Calibri" w:cs="Calibri"/>
          <w:szCs w:val="24"/>
        </w:rPr>
        <w:t>(</w:t>
      </w:r>
      <w:proofErr w:type="spellStart"/>
      <w:r w:rsidR="001E7969" w:rsidRPr="001E7969">
        <w:rPr>
          <w:rFonts w:ascii="Calibri" w:hAnsi="Calibri" w:cs="Calibri"/>
          <w:szCs w:val="24"/>
        </w:rPr>
        <w:t>Capellán</w:t>
      </w:r>
      <w:proofErr w:type="spellEnd"/>
      <w:r w:rsidR="001E7969" w:rsidRPr="001E7969">
        <w:rPr>
          <w:rFonts w:ascii="Calibri" w:hAnsi="Calibri" w:cs="Calibri"/>
          <w:szCs w:val="24"/>
        </w:rPr>
        <w:t>-Pérez et al., 2014)</w:t>
      </w:r>
      <w:r w:rsidR="001E7969">
        <w:fldChar w:fldCharType="end"/>
      </w:r>
      <w:r w:rsidR="001E7969" w:rsidRPr="001E7969">
        <w:t xml:space="preserve"> for details)</w:t>
      </w:r>
      <w:r w:rsidR="001E7969">
        <w:t xml:space="preserve">. This means that eventual uranium scarcity is not </w:t>
      </w:r>
      <w:proofErr w:type="spellStart"/>
      <w:r w:rsidR="001E7969">
        <w:t>feedbacked</w:t>
      </w:r>
      <w:proofErr w:type="spellEnd"/>
      <w:r w:rsidR="001E7969">
        <w:t xml:space="preserve"> to economy as done for oil, coal and natural gas, but it is modelled as a </w:t>
      </w:r>
      <w:r w:rsidR="001E7969">
        <w:t>hard scarcity feedback which</w:t>
      </w:r>
      <w:r w:rsidR="001E7969">
        <w:t xml:space="preserve"> operates in the energy module.</w:t>
      </w:r>
    </w:p>
    <w:p w:rsidR="00775A3C" w:rsidRPr="00775A3C" w:rsidRDefault="00091C18" w:rsidP="00775A3C">
      <w:r>
        <w:t xml:space="preserve">Few estimates </w:t>
      </w:r>
      <w:r w:rsidR="001E7969">
        <w:t xml:space="preserve">of uranium depletion curves </w:t>
      </w:r>
      <w:r>
        <w:t xml:space="preserve">exist in the literature, and given the accuracy of former EWG estimates (cf. </w:t>
      </w:r>
      <w:hyperlink r:id="rId4" w:history="1">
        <w:r w:rsidR="001E7969" w:rsidRPr="005B4B75">
          <w:rPr>
            <w:rStyle w:val="Hipervnculo"/>
          </w:rPr>
          <w:t>https://www.energywatchgroup.org/blog-post/</w:t>
        </w:r>
      </w:hyperlink>
      <w:r>
        <w:t xml:space="preserve">) we take as reference their works </w:t>
      </w:r>
      <w:r w:rsidR="001E7969">
        <w:t xml:space="preserve">which allow to consider different hypotheses of maximum uranium extraction rate at </w:t>
      </w:r>
      <w:r w:rsidR="001E7969">
        <w:rPr>
          <w:rFonts w:cstheme="minorHAnsi"/>
        </w:rPr>
        <w:t>~</w:t>
      </w:r>
      <w:r w:rsidR="001E7969">
        <w:t xml:space="preserve">80, 100 and 120 </w:t>
      </w:r>
      <w:proofErr w:type="spellStart"/>
      <w:r w:rsidR="001E7969">
        <w:t>kt</w:t>
      </w:r>
      <w:proofErr w:type="spellEnd"/>
      <w:r w:rsidR="001E7969">
        <w:t xml:space="preserve"> Uranium (in primary energy terms) </w:t>
      </w:r>
      <w:r w:rsidR="001E7969">
        <w:fldChar w:fldCharType="begin"/>
      </w:r>
      <w:r w:rsidR="001E7969">
        <w:instrText xml:space="preserve"> ADDIN ZOTERO_ITEM CSL_CITATION {"citationID":"XUcrhGyA","properties":{"formattedCitation":"(EWG, 2013, 2006; Zittel, 2012)","plainCitation":"(EWG, 2013, 2006; Zittel, 2012)","noteIndex":0},"citationItems":[{"id":1478,"uris":["http://zotero.org/users/1230991/items/2W7NTEWF"],"itemData":{"id":1478,"type":"report","number":"2013/03/18 LBST","publisher":"Energy Watch Group","title":"Fossil and Nuclear Fuels – the Supply Outlook","URL":"https://www.energywatchgroup.org/fossil-and-nuclear-fuels-supply-outlook/","author":[{"family":"EWG","given":""}],"issued":{"date-parts":[["2013",3]]}}},{"id":759,"uris":["http://zotero.org/users/1230991/items/XBKH5959"],"itemData":{"id":759,"type":"report","collection-title":"EWG-Series","number":"1/2006","publisher":"Energy Watch Group","title":"Uranium Resources and Nuclear Energy","author":[{"family":"EWG","given":""}],"issued":{"date-parts":[["2006",12]]}}},{"id":205,"uris":["http://zotero.org/users/1230991/items/5EW2GKM9"],"itemData":{"id":205,"type":"report","event-place":"Munich (Germany)","publisher":"Ludwig-Bölkow-Systemtechnik GmbH","publisher-place":"Munich (Germany)","title":"Feasible Futures for the Common Good. Energy Transition. Paths in a Period of Increasing Resource Scarcities","author":[{"family":"Zittel","given":"Werner"}],"issued":{"date-parts":[["2012",3]]}}}],"schema":"https://github.com/citation-style-language/schema/raw/master/csl-citation.json"} </w:instrText>
      </w:r>
      <w:r w:rsidR="001E7969">
        <w:fldChar w:fldCharType="separate"/>
      </w:r>
      <w:r w:rsidR="001E7969" w:rsidRPr="001E7969">
        <w:rPr>
          <w:rFonts w:ascii="Calibri" w:hAnsi="Calibri" w:cs="Calibri"/>
        </w:rPr>
        <w:t>(EWG, 2013, 2006; Zittel, 2012)</w:t>
      </w:r>
      <w:r w:rsidR="001E7969">
        <w:fldChar w:fldCharType="end"/>
      </w:r>
      <w:r w:rsidR="00775A3C">
        <w:t xml:space="preserve">. These curves are </w:t>
      </w:r>
      <w:r w:rsidR="00775A3C" w:rsidRPr="00775A3C">
        <w:t xml:space="preserve">obtained applying individual country data from the Nuclear Energy Agency (NEA), derived by mine-by-mine analysis of </w:t>
      </w:r>
      <w:bookmarkStart w:id="0" w:name="_GoBack"/>
      <w:bookmarkEnd w:id="0"/>
      <w:r w:rsidR="00775A3C" w:rsidRPr="00775A3C">
        <w:t xml:space="preserve">reserves and production. </w:t>
      </w:r>
    </w:p>
    <w:p w:rsidR="00775A3C" w:rsidRDefault="00775A3C" w:rsidP="00775A3C">
      <w:r w:rsidRPr="00775A3C">
        <w:rPr>
          <w:sz w:val="23"/>
          <w:szCs w:val="23"/>
        </w:rPr>
        <w:t xml:space="preserve">The reduction of net energy production of nuclear power plants as a function of the decreasing ore grade of uranium are thus </w:t>
      </w:r>
      <w:r w:rsidRPr="00775A3C">
        <w:rPr>
          <w:sz w:val="23"/>
          <w:szCs w:val="23"/>
        </w:rPr>
        <w:t>implicitly</w:t>
      </w:r>
      <w:r w:rsidRPr="00775A3C">
        <w:rPr>
          <w:sz w:val="23"/>
          <w:szCs w:val="23"/>
        </w:rPr>
        <w:t xml:space="preserve"> taken into account in the analysis by the URR level</w:t>
      </w:r>
      <w:r>
        <w:rPr>
          <w:color w:val="1F1F1F"/>
          <w:sz w:val="23"/>
          <w:szCs w:val="23"/>
        </w:rPr>
        <w:t xml:space="preserve"> </w:t>
      </w:r>
      <w:r>
        <w:rPr>
          <w:color w:val="1F1F1F"/>
          <w:sz w:val="23"/>
          <w:szCs w:val="23"/>
        </w:rPr>
        <w:fldChar w:fldCharType="begin"/>
      </w:r>
      <w:r>
        <w:rPr>
          <w:color w:val="1F1F1F"/>
          <w:sz w:val="23"/>
          <w:szCs w:val="23"/>
        </w:rPr>
        <w:instrText xml:space="preserve"> ADDIN ZOTERO_ITEM CSL_CITATION {"citationID":"JX8FiKjI","properties":{"formattedCitation":"(Van Leeuwen and Smith, 2008; van Leeuwen, 1985)","plainCitation":"(Van Leeuwen and Smith, 2008; van Leeuwen, 1985)","noteIndex":0},"citationItems":[{"id":7615,"uris":["http://zotero.org/users/1230991/items/BBPE3E7P"],"itemData":{"id":7615,"type":"book","event-place":"Netherlands","publisher":"https://www.stormsmith.nl","publisher-place":"Netherlands","title":"Nuclear power–the energy balance","URL":"https://www.stormsmith.nl/np-ebalance.html","author":[{"family":"Van Leeuwen","given":"JWS"},{"family":"Smith","given":"P"}],"issued":{"date-parts":[["2008",1]]}}},{"id":7739,"uris":["http://zotero.org/users/1230991/items/Q5UVZHHH"],"itemData":{"id":7739,"type":"article-journal","abstract":"The energy requirements and costs of the complete nuclear fuel cycle of a light water reactor (LWR) power plant are analysed, from mining the uranium ore to dismantling the nuclear facilities and final disposal of the radioactive wastes. The most critical parameters are identified and discussed. The analysis has an empirical character: only data which are supported by practice are used. The conclusions differ significantly from previous studies, mainly because of the complete approach and the use of recent figures and trends.","container-title":"Energy Policy","DOI":"10.1016/0301-4215(85)90158-2","ISSN":"0301-4215","issue":"3","journalAbbreviation":"Energy Policy","page":"253-266","source":"ScienceDirect","title":"Nuclear uncertainties: Energy loans for fission power","volume":"13","author":[{"family":"Leeuwen","given":"Jan Willem Storm","non-dropping-particle":"van"}],"issued":{"date-parts":[["1985",6,1]]}}}],"schema":"https://github.com/citation-style-language/schema/raw/master/csl-citation.json"} </w:instrText>
      </w:r>
      <w:r>
        <w:rPr>
          <w:color w:val="1F1F1F"/>
          <w:sz w:val="23"/>
          <w:szCs w:val="23"/>
        </w:rPr>
        <w:fldChar w:fldCharType="separate"/>
      </w:r>
      <w:r w:rsidRPr="00775A3C">
        <w:rPr>
          <w:rFonts w:ascii="Calibri" w:hAnsi="Calibri" w:cs="Calibri"/>
          <w:sz w:val="23"/>
        </w:rPr>
        <w:t xml:space="preserve">(Van </w:t>
      </w:r>
      <w:proofErr w:type="spellStart"/>
      <w:r w:rsidRPr="00775A3C">
        <w:rPr>
          <w:rFonts w:ascii="Calibri" w:hAnsi="Calibri" w:cs="Calibri"/>
          <w:sz w:val="23"/>
        </w:rPr>
        <w:t>Leeuwen</w:t>
      </w:r>
      <w:proofErr w:type="spellEnd"/>
      <w:r w:rsidRPr="00775A3C">
        <w:rPr>
          <w:rFonts w:ascii="Calibri" w:hAnsi="Calibri" w:cs="Calibri"/>
          <w:sz w:val="23"/>
        </w:rPr>
        <w:t xml:space="preserve"> and Smith, 2008; van </w:t>
      </w:r>
      <w:proofErr w:type="spellStart"/>
      <w:r w:rsidRPr="00775A3C">
        <w:rPr>
          <w:rFonts w:ascii="Calibri" w:hAnsi="Calibri" w:cs="Calibri"/>
          <w:sz w:val="23"/>
        </w:rPr>
        <w:t>Leeuwen</w:t>
      </w:r>
      <w:proofErr w:type="spellEnd"/>
      <w:r w:rsidRPr="00775A3C">
        <w:rPr>
          <w:rFonts w:ascii="Calibri" w:hAnsi="Calibri" w:cs="Calibri"/>
          <w:sz w:val="23"/>
        </w:rPr>
        <w:t>, 1985)</w:t>
      </w:r>
      <w:r>
        <w:rPr>
          <w:color w:val="1F1F1F"/>
          <w:sz w:val="23"/>
          <w:szCs w:val="23"/>
        </w:rPr>
        <w:fldChar w:fldCharType="end"/>
      </w:r>
      <w:r>
        <w:rPr>
          <w:color w:val="1F1F1F"/>
          <w:sz w:val="23"/>
          <w:szCs w:val="23"/>
        </w:rPr>
        <w:t>.</w:t>
      </w:r>
    </w:p>
    <w:p w:rsidR="00091C18" w:rsidRDefault="00091C18">
      <w:pPr>
        <w:rPr>
          <w:lang w:val="es-ES"/>
        </w:rPr>
      </w:pPr>
      <w:r w:rsidRPr="00091C18">
        <w:drawing>
          <wp:inline distT="0" distB="0" distL="0" distR="0">
            <wp:extent cx="5731510" cy="37363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36305"/>
                    </a:xfrm>
                    <a:prstGeom prst="rect">
                      <a:avLst/>
                    </a:prstGeom>
                    <a:noFill/>
                    <a:ln>
                      <a:noFill/>
                    </a:ln>
                  </pic:spPr>
                </pic:pic>
              </a:graphicData>
            </a:graphic>
          </wp:inline>
        </w:drawing>
      </w:r>
    </w:p>
    <w:p w:rsidR="00091C18" w:rsidRPr="00091C18" w:rsidRDefault="00091C18">
      <w:pPr>
        <w:rPr>
          <w:lang w:val="es-ES"/>
        </w:rPr>
      </w:pPr>
    </w:p>
    <w:p w:rsidR="00091C18" w:rsidRDefault="00091C18">
      <w:pPr>
        <w:rPr>
          <w:b/>
        </w:rPr>
      </w:pPr>
      <w:r w:rsidRPr="00091C18">
        <w:rPr>
          <w:b/>
        </w:rPr>
        <w:t>Link with energy supply</w:t>
      </w:r>
    </w:p>
    <w:p w:rsidR="00091C18" w:rsidRPr="00091C18" w:rsidRDefault="00091C18">
      <w:r>
        <w:t>Two</w:t>
      </w:r>
      <w:r w:rsidRPr="00091C18">
        <w:t xml:space="preserve"> links</w:t>
      </w:r>
      <w:r>
        <w:t>: limiting capacity expansion when reached maximum extraction rate, and nuclear power plants utilization adjusted to annual global availability of uranium. For the sake of simplicity, scarcity is allocated proportionally to the installed power to all countries.</w:t>
      </w:r>
    </w:p>
    <w:p w:rsidR="00091C18" w:rsidRPr="00091C18" w:rsidRDefault="00091C18">
      <w:pPr>
        <w:rPr>
          <w:b/>
        </w:rPr>
      </w:pPr>
    </w:p>
    <w:p w:rsidR="00091C18" w:rsidRPr="00091C18" w:rsidRDefault="00091C18">
      <w:pPr>
        <w:rPr>
          <w:b/>
        </w:rPr>
      </w:pPr>
      <w:r w:rsidRPr="00091C18">
        <w:rPr>
          <w:b/>
        </w:rPr>
        <w:t>References</w:t>
      </w:r>
    </w:p>
    <w:p w:rsidR="00775A3C" w:rsidRPr="00775A3C" w:rsidRDefault="001E7969" w:rsidP="00775A3C">
      <w:pPr>
        <w:pStyle w:val="Bibliografa"/>
        <w:rPr>
          <w:rFonts w:ascii="Calibri" w:hAnsi="Calibri" w:cs="Calibri"/>
        </w:rPr>
      </w:pPr>
      <w:r>
        <w:lastRenderedPageBreak/>
        <w:fldChar w:fldCharType="begin"/>
      </w:r>
      <w:r w:rsidRPr="001E7969">
        <w:rPr>
          <w:lang w:val="es-ES"/>
        </w:rPr>
        <w:instrText xml:space="preserve"> ADDIN ZOTERO_BIBL {"uncited":[],"omitted":[],"custom":[]} CSL_BIBLIOGRAPHY </w:instrText>
      </w:r>
      <w:r>
        <w:fldChar w:fldCharType="separate"/>
      </w:r>
      <w:r w:rsidR="00775A3C" w:rsidRPr="00775A3C">
        <w:rPr>
          <w:rFonts w:ascii="Calibri" w:hAnsi="Calibri" w:cs="Calibri"/>
          <w:lang w:val="es-ES"/>
        </w:rPr>
        <w:t xml:space="preserve">Capellán-Pérez, I., Mediavilla, M., de Castro, C., Carpintero, </w:t>
      </w:r>
      <w:proofErr w:type="spellStart"/>
      <w:r w:rsidR="00775A3C" w:rsidRPr="00775A3C">
        <w:rPr>
          <w:rFonts w:ascii="Calibri" w:hAnsi="Calibri" w:cs="Calibri"/>
          <w:lang w:val="es-ES"/>
        </w:rPr>
        <w:t>Ó</w:t>
      </w:r>
      <w:proofErr w:type="spellEnd"/>
      <w:r w:rsidR="00775A3C" w:rsidRPr="00775A3C">
        <w:rPr>
          <w:rFonts w:ascii="Calibri" w:hAnsi="Calibri" w:cs="Calibri"/>
          <w:lang w:val="es-ES"/>
        </w:rPr>
        <w:t xml:space="preserve">., Miguel, L.J., 2014. </w:t>
      </w:r>
      <w:r w:rsidR="00775A3C" w:rsidRPr="00775A3C">
        <w:rPr>
          <w:rFonts w:ascii="Calibri" w:hAnsi="Calibri" w:cs="Calibri"/>
        </w:rPr>
        <w:t>Fossil fuel depletion and socio-economic scenarios: An integrated approach. Energy 77, 641–666. https://doi.org/10.1016/j.energy.2014.09.063</w:t>
      </w:r>
    </w:p>
    <w:p w:rsidR="00775A3C" w:rsidRPr="00775A3C" w:rsidRDefault="00775A3C" w:rsidP="00775A3C">
      <w:pPr>
        <w:pStyle w:val="Bibliografa"/>
        <w:rPr>
          <w:rFonts w:ascii="Calibri" w:hAnsi="Calibri" w:cs="Calibri"/>
        </w:rPr>
      </w:pPr>
      <w:r w:rsidRPr="00775A3C">
        <w:rPr>
          <w:rFonts w:ascii="Calibri" w:hAnsi="Calibri" w:cs="Calibri"/>
        </w:rPr>
        <w:t>EWG, 2013. Fossil and Nuclear Fuels – the Supply Outlook (No. 2013/03/18 LBST). Energy Watch Group.</w:t>
      </w:r>
    </w:p>
    <w:p w:rsidR="00775A3C" w:rsidRPr="00775A3C" w:rsidRDefault="00775A3C" w:rsidP="00775A3C">
      <w:pPr>
        <w:pStyle w:val="Bibliografa"/>
        <w:rPr>
          <w:rFonts w:ascii="Calibri" w:hAnsi="Calibri" w:cs="Calibri"/>
        </w:rPr>
      </w:pPr>
      <w:r w:rsidRPr="00775A3C">
        <w:rPr>
          <w:rFonts w:ascii="Calibri" w:hAnsi="Calibri" w:cs="Calibri"/>
        </w:rPr>
        <w:t>EWG, 2006. Uranium Resources and Nuclear Energy (No. 1/2006), EWG-Series. Energy Watch Group.</w:t>
      </w:r>
    </w:p>
    <w:p w:rsidR="00775A3C" w:rsidRPr="00775A3C" w:rsidRDefault="00775A3C" w:rsidP="00775A3C">
      <w:pPr>
        <w:pStyle w:val="Bibliografa"/>
        <w:rPr>
          <w:rFonts w:ascii="Calibri" w:hAnsi="Calibri" w:cs="Calibri"/>
        </w:rPr>
      </w:pPr>
      <w:r w:rsidRPr="00775A3C">
        <w:rPr>
          <w:rFonts w:ascii="Calibri" w:hAnsi="Calibri" w:cs="Calibri"/>
        </w:rPr>
        <w:t xml:space="preserve">Van </w:t>
      </w:r>
      <w:proofErr w:type="spellStart"/>
      <w:r w:rsidRPr="00775A3C">
        <w:rPr>
          <w:rFonts w:ascii="Calibri" w:hAnsi="Calibri" w:cs="Calibri"/>
        </w:rPr>
        <w:t>Leeuwen</w:t>
      </w:r>
      <w:proofErr w:type="spellEnd"/>
      <w:r w:rsidRPr="00775A3C">
        <w:rPr>
          <w:rFonts w:ascii="Calibri" w:hAnsi="Calibri" w:cs="Calibri"/>
        </w:rPr>
        <w:t>, J., Smith, P., 2008. Nuclear power–the energy balance. https://www.stormsmith.nl, Netherlands.</w:t>
      </w:r>
    </w:p>
    <w:p w:rsidR="00775A3C" w:rsidRPr="00775A3C" w:rsidRDefault="00775A3C" w:rsidP="00775A3C">
      <w:pPr>
        <w:pStyle w:val="Bibliografa"/>
        <w:rPr>
          <w:rFonts w:ascii="Calibri" w:hAnsi="Calibri" w:cs="Calibri"/>
        </w:rPr>
      </w:pPr>
      <w:r w:rsidRPr="00775A3C">
        <w:rPr>
          <w:rFonts w:ascii="Calibri" w:hAnsi="Calibri" w:cs="Calibri"/>
          <w:lang w:val="es-ES"/>
        </w:rPr>
        <w:t xml:space="preserve">van </w:t>
      </w:r>
      <w:proofErr w:type="spellStart"/>
      <w:r w:rsidRPr="00775A3C">
        <w:rPr>
          <w:rFonts w:ascii="Calibri" w:hAnsi="Calibri" w:cs="Calibri"/>
          <w:lang w:val="es-ES"/>
        </w:rPr>
        <w:t>Leeuwen</w:t>
      </w:r>
      <w:proofErr w:type="spellEnd"/>
      <w:r w:rsidRPr="00775A3C">
        <w:rPr>
          <w:rFonts w:ascii="Calibri" w:hAnsi="Calibri" w:cs="Calibri"/>
          <w:lang w:val="es-ES"/>
        </w:rPr>
        <w:t xml:space="preserve">, J.W.S., 1985. </w:t>
      </w:r>
      <w:r w:rsidRPr="00775A3C">
        <w:rPr>
          <w:rFonts w:ascii="Calibri" w:hAnsi="Calibri" w:cs="Calibri"/>
        </w:rPr>
        <w:t>Nuclear uncertainties: Energy loans for fission power. Energy Policy 13, 253–266. https://doi.org/10.1016/0301-4215(85)90158-2</w:t>
      </w:r>
    </w:p>
    <w:p w:rsidR="00775A3C" w:rsidRPr="00775A3C" w:rsidRDefault="00775A3C" w:rsidP="00775A3C">
      <w:pPr>
        <w:pStyle w:val="Bibliografa"/>
        <w:rPr>
          <w:rFonts w:ascii="Calibri" w:hAnsi="Calibri" w:cs="Calibri"/>
        </w:rPr>
      </w:pPr>
      <w:r w:rsidRPr="00775A3C">
        <w:rPr>
          <w:rFonts w:ascii="Calibri" w:hAnsi="Calibri" w:cs="Calibri"/>
        </w:rPr>
        <w:t>Zittel, W., 2012. Feasible Futures for the Common Good. Energy Transition. Paths in a Period of Increasing Resource Scarcities. Ludwig-</w:t>
      </w:r>
      <w:proofErr w:type="spellStart"/>
      <w:r w:rsidRPr="00775A3C">
        <w:rPr>
          <w:rFonts w:ascii="Calibri" w:hAnsi="Calibri" w:cs="Calibri"/>
        </w:rPr>
        <w:t>Bölkow</w:t>
      </w:r>
      <w:proofErr w:type="spellEnd"/>
      <w:r w:rsidRPr="00775A3C">
        <w:rPr>
          <w:rFonts w:ascii="Calibri" w:hAnsi="Calibri" w:cs="Calibri"/>
        </w:rPr>
        <w:t>-</w:t>
      </w:r>
      <w:proofErr w:type="spellStart"/>
      <w:r w:rsidRPr="00775A3C">
        <w:rPr>
          <w:rFonts w:ascii="Calibri" w:hAnsi="Calibri" w:cs="Calibri"/>
        </w:rPr>
        <w:t>Systemtechnik</w:t>
      </w:r>
      <w:proofErr w:type="spellEnd"/>
      <w:r w:rsidRPr="00775A3C">
        <w:rPr>
          <w:rFonts w:ascii="Calibri" w:hAnsi="Calibri" w:cs="Calibri"/>
        </w:rPr>
        <w:t xml:space="preserve"> GmbH, Munich (Germany).</w:t>
      </w:r>
    </w:p>
    <w:p w:rsidR="00091C18" w:rsidRPr="00091C18" w:rsidRDefault="001E7969">
      <w:r>
        <w:fldChar w:fldCharType="end"/>
      </w:r>
    </w:p>
    <w:sectPr w:rsidR="00091C18" w:rsidRPr="0009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BD"/>
    <w:rsid w:val="000612CB"/>
    <w:rsid w:val="00091C18"/>
    <w:rsid w:val="001E7969"/>
    <w:rsid w:val="002865DF"/>
    <w:rsid w:val="00480BBD"/>
    <w:rsid w:val="00775A3C"/>
    <w:rsid w:val="00933335"/>
    <w:rsid w:val="009449A6"/>
    <w:rsid w:val="00B84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9C2A"/>
  <w15:chartTrackingRefBased/>
  <w15:docId w15:val="{BBA66C29-8BFD-462E-BDFF-A73602DE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1E7969"/>
    <w:pPr>
      <w:spacing w:after="0" w:line="240" w:lineRule="auto"/>
      <w:ind w:left="720" w:hanging="720"/>
    </w:pPr>
  </w:style>
  <w:style w:type="character" w:styleId="Hipervnculo">
    <w:name w:val="Hyperlink"/>
    <w:basedOn w:val="Fuentedeprrafopredeter"/>
    <w:uiPriority w:val="99"/>
    <w:unhideWhenUsed/>
    <w:rsid w:val="001E79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https://www.energywatchgroup.org/blog-po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1234</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dc:creator>
  <cp:keywords/>
  <dc:description/>
  <cp:lastModifiedBy>Iñigo</cp:lastModifiedBy>
  <cp:revision>3</cp:revision>
  <dcterms:created xsi:type="dcterms:W3CDTF">2023-03-07T06:14:00Z</dcterms:created>
  <dcterms:modified xsi:type="dcterms:W3CDTF">2023-03-07T06:38:00Z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id="p1i6rh0T"/&gt;&lt;style id="http://www.zotero.org/styles/energy-policy" hasBibliography="1" bibliographyStyleHasBeenSet="1"/&gt;&lt;prefs&gt;&lt;pref name="fieldType" value="Field"/&gt;&lt;/prefs&gt;&lt;/data&gt;</vt:lpwstr>
  </property>
</Properties>
</file>