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Dynamics of Energy Transition and Jevons Paradox in Indonesia's Economic Development: An ARDL Approach</w:t>
      </w:r>
    </w:p>
    <w:p>
      <w:pPr>
        <w:pStyle w:val="Heading1"/>
      </w:pPr>
      <w:r>
        <w:t>Abstract</w:t>
      </w:r>
    </w:p>
    <w:p>
      <w:r>
        <w:t>Indonesia's absolute carbon emissions have continued to rise alongside economic growth, despite the implementation of ambitious Nationally Determined Contribution (NDC) targets and accelerated renewable energy (RE) expansion. This study empirically investigates the dynamics of energy transition and the Jevons Paradox within Indonesia's economic development from 2010 to 2024. Using the Autoregressive Distributed Lag (ARDL) Bounds Testing approach on quarterly interpolated data (N=60), this study examines the long-run and short-run relationships among real GDP growth, renewable energy penetration, and CO2 emissions. Results confirm long-run cointegration among variables. Real GDP exerts a significant positive effect on emissions (coefficient = 0.0429, p &lt; 0.05), confirming a structural lock-in effect driven by Indonesia's dependence on extractive commodity exports. Critically, renewable energy penetration is positively associated with emissions in both the short-run (coefficient = 0.0292, p &lt; 0.01) and long-run (coefficient = 0.0763, p &lt; 0.05), providing strong empirical evidence of the Jevons Paradox or backfire effect. These findings suggest that efficiency-driven cost reductions stimulate aggregate energy demand, offsetting decarbonization gains. Based on these results, this study proposes Energy Service Companies (ESCo) and carbon market governance reform as targeted policy interventions to neutralize rebound effects and support Indonesia's Net Zero Emission pathway.</w:t>
      </w:r>
    </w:p>
    <w:p>
      <w:r>
        <w:t>Keywords: Jevons Paradox, Energy Transition, ARDL, Carbon Emissions, Structural Lock-in Effect</w:t>
      </w:r>
    </w:p>
    <w:p>
      <w:r>
        <w:t>JEL Classification: Q42, Q43, Q54</w:t>
      </w:r>
    </w:p>
    <w:p>
      <w:pPr>
        <w:pStyle w:val="Heading1"/>
      </w:pPr>
      <w:r>
        <w:t>1. Introduction</w:t>
      </w:r>
    </w:p>
    <w:p>
      <w:r>
        <w:t>The acceleration of greenhouse gas (GHG) emissions poses a critical and systemic environmental challenge to global economic governance in the twenty-first century. The Intergovernmental Panel on Climate Change (IPCC) has established with high scientific certainty that without large-scale, coordinated mitigation interventions, current GHG accumulation trajectories will push global average surface temperatures beyond the critical threshold of 1.5 to 2 degrees Celsius above pre-industrial levels (Sari et al., 2025). In response, the international community formalized binding commitments through the Paris Agreement, requiring each signatory nation to submit Nationally Determined Contributions (NDCs) as frameworks for aligning national economic policy with long-term environmental sustainability (Setyawan, 2020).</w:t>
      </w:r>
    </w:p>
    <w:p>
      <w:r>
        <w:t>As the world's largest archipelagic state and a leading economy in Southeast Asia, Indonesia occupies a strategically significant position in the global climate mitigation agenda (Ferdiansyah et al., 2025). The Indonesian government has committed to reducing emissions by 31.89% unconditionally and up to 43.2% with international support by 2030, with a long-term target of achieving Net Zero Emissions (NZE) by 2060. This vision requires a fundamental transformation of the national primary energy mix, historically dominated by coal, toward renewable energy sources.</w:t>
      </w:r>
    </w:p>
    <w:p>
      <w:r>
        <w:t>This transition has been accompanied by the launch of institutional instruments, including the Indonesia Carbon Exchange (IDXCarbon) on September 26, 2023, and the subsequent issuance of Presidential Regulation No. 110 of 2025 on the Implementation of Carbon Economic Value (NEK). These instruments are designed to internalize the negative externalities of carbon pollution through market-based price discovery mechanisms. Nevertheless, despite these regulatory developments, empirical macroeconomic data indicate a widening divergence between policy intentions and actual emission outcomes.</w:t>
      </w:r>
    </w:p>
    <w:p>
      <w:r>
        <w:t>Between 2010 and 2024, Indonesia's absolute carbon emissions increased substantially from 543.9 million tonnes to 920.9 million tonnes of CO2 equivalent, representing a growth of approximately 69.3%. This upward trajectory occurred concurrently with a more than doubling of the renewable energy (RE) share in the national energy mix, from 5.4% in 2010 to 14.68% in 2024. This apparent paradox, wherein expanding renewable energy penetration coincides with rising absolute emissions, suggests the presence of a systematic efficiency-consumption feedback mechanism known in the economics literature as the Jevons Paradox or rebound effect (Sorrell, 2009; Sudarmaji et al., 2021).</w:t>
      </w:r>
    </w:p>
    <w:p>
      <w:r>
        <w:t>The Jevons Paradox posits that technological improvements in resource efficiency, by reducing the marginal cost of energy consumption, ultimately stimulate greater aggregate demand for that resource, negating or reversing the intended environmental gains. In Indonesia's context, reductions in the Levelized Cost of Electricity (LCOE) attributable to RE expansion may be inducing scale-up responses in manufacturing and household consumption, while grid intermittency challenges force utilities to maintain or increase fossil fuel backup generation capacity.</w:t>
      </w:r>
    </w:p>
    <w:p>
      <w:r>
        <w:t>RESEARCH GAP AND CONTRIBUTION: Existing literature has extensively examined the Environmental Kuznets Curve (EKC) hypothesis in emerging economies and the role of renewable energy in emission reduction across various contexts (Al-Mulali &amp; Ozturk, 2016; Apergis &amp; Payne, 2010; Saboori et al., 2012). However, a critical gap remains: no study has specifically and quantitatively validated the presence of the Jevons Paradox through the ARDL cointegration framework in Indonesia, particularly within the institutional context following the operationalization of IDXCarbon and the enactment of Presidential Regulation No. 110/2025. This study addresses this gap by providing three distinct contributions: (1) empirical quantification of the Jevons Paradox in Indonesia's energy transition using ARDL Bounds Testing; (2) identification of the structural lock-in effect as the primary mechanism preventing EKC turning point achievement; and (3) the formulation of targeted policy recommendations, including ESCo-based Energy Performance Contracting, as a physical mitigation instrument designed to counteract rebound effects.</w:t>
      </w:r>
    </w:p>
    <w:p>
      <w:pPr>
        <w:pStyle w:val="Heading1"/>
      </w:pPr>
      <w:r>
        <w:t>2. Literature Review</w:t>
      </w:r>
    </w:p>
    <w:p>
      <w:r>
        <w:t>A comprehensive analysis of energy transition and ecological sustainability requires an interdisciplinary theoretical foundation integrating principles from macroeconomics, energy systems engineering, and institutional theory. This section outlines the key theoretical frameworks underlying this study, encompassing the Environmental Kuznets Curve hypothesis, the dynamics of renewable energy systems, the Jevons Paradox, and the evolution of carbon market governance.</w:t>
      </w:r>
    </w:p>
    <w:p>
      <w:pPr>
        <w:pStyle w:val="Heading2"/>
      </w:pPr>
      <w:r>
        <w:t>2.1 The Environmental Kuznets Curve and Developing Economy Anomalies</w:t>
      </w:r>
    </w:p>
    <w:p>
      <w:r>
        <w:t>The Environmental Kuznets Curve (EKC) conceptualizes an inverted U-shaped relationship between per capita income growth and environmental degradation (Nasir &amp; Rehman, 2011). The neoclassical paradigm assumes that in early stages of economic development, characterized by labor-intensive industrialization and primary resource extraction, GDP growth is accompanied by accelerating environmental damage (scale effect). However, once an economy reaches a critical income threshold, capital accumulation facilitates a structural shift toward services and clean technology (composition and technique effects), reversing the emissions trajectory (Saboori et al., 2012).</w:t>
      </w:r>
    </w:p>
    <w:p>
      <w:r>
        <w:t>The empirical validity of the EKC hypothesis varies considerably across jurisdictions. Al-Mulali and Ozturk (2016), using Fully Modified OLS (FMOLS) on a panel of 27 advanced economies, confirmed robust EKC turning points supported by endogenous energy efficiency improvements. Apergis and Payne (2010) confirmed similar patterns in OECD countries. In Asia, Saboori et al. (2012) validated the classical EKC pattern in Malaysia using long-run ARDL, while Bekhet and Othman (2018) identified an N-shaped EKC trajectory with a turning point at RM 2,841.9 billion GDP. In South Asia, Nasir and Rehman (2011) and Shahbaz et al. (2013) confirmed EKC in Pakistan, though institutional weaknesses delayed the turning point. Farhani and Rejeb (2012) found highly variable EKC turning points across MENA nations due to persistent fossil fuel subsidy distortions.</w:t>
      </w:r>
    </w:p>
    <w:p>
      <w:r>
        <w:t>In the Indonesian context, the EKC hypothesis confronts a structural anomaly. Arisanti et al. (2025), using Vector Autoregression (VAR) and Copula-GLMM approaches, demonstrated that Indonesia's decoupling phase is systematically delayed by a structural lock-in effect. As a major exporter of extractive commodities, including thermal coal and raw nickel ore, upstream emissions from heavy equipment supply chains, smelter utilities, and maritime logistics are intrinsically embedded in each percentage point of GDP growth. This indicates that Indonesia remains on the ascending phase of the EKC curve, far from achieving its inflection point. Sanli et al. (2023) further demonstrated through Non-Linear ARDL (NARDL) on OECD countries that fossil and renewable energy shocks exert asymmetric effects on carbon emissions, a structural phenomenon highly relevant to Indonesia's persistent decarbonization stagnation.</w:t>
      </w:r>
    </w:p>
    <w:p>
      <w:pPr>
        <w:pStyle w:val="Heading2"/>
      </w:pPr>
      <w:r>
        <w:t>2.2 Renewable Energy Penetration and Grid Stability Challenges</w:t>
      </w:r>
    </w:p>
    <w:p>
      <w:r>
        <w:t>As the primary instrument of climate mitigation policy, substituting fossil fuels with renewable energy (RE) sources is theoretically expected to reduce absolute emissions. Sadorsky (2009) demonstrated through panel cointegration that in emerging economies, rising real per capita income significantly drives renewable energy consumption. In Indonesia, political commitment to RE expansion is strong, reflected in the presidential target of 100 GW of solar photovoltaic capacity over the next decade. Fahmi (2025) highlights bioenergy, marine energy, and geothermal optimization as critical elements of the national energy transition supporting energy independence.</w:t>
      </w:r>
    </w:p>
    <w:p>
      <w:r>
        <w:t>However, RE penetration introduces technical challenges to grid reliability. Impram et al. (2020) identified that the intermittent supply characteristics of solar photovoltaic (PV) and wind power significantly reduce grid operational flexibility. The absence of mechanical rotational inertia in inverter-based RE systems creates vulnerability to Rate of Change of Frequency (ROCOF) fluctuations. In Indonesia's fragmented island grid architecture, these stability constraints compel the state utility (PLN) to conservatively maintain large-scale coal-fired power plants (PLTU) as baseload support. Operating these thermal plants at partial efficiency to buffer RE intermittency paradoxically sustains absolute emission levels (Fahmi, 2025; Hidayatno et al., 2019).</w:t>
      </w:r>
    </w:p>
    <w:p>
      <w:pPr>
        <w:pStyle w:val="Heading2"/>
      </w:pPr>
      <w:r>
        <w:t>2.3 The Jevons Paradox and the Rebound Effect Mechanism</w:t>
      </w:r>
    </w:p>
    <w:p>
      <w:r>
        <w:t>The continued escalation of carbon emissions alongside RE expansion can be analytically explained through the Jevons Paradox, first observed by economist William Stanley Jevons in 1865 with respect to improvements in coal steam engine efficiency. The paradox postulates that technological innovations increasing resource use efficiency ultimately expand total aggregate consumption of that resource (Sorrell, 2009), as efficiency-driven price reductions stimulate new demand through substitution and income effects.</w:t>
      </w:r>
    </w:p>
    <w:p>
      <w:r>
        <w:t>In quantitative terms, this mechanism is captured through the rebound effect coefficient. When RE penetration reduces the LCOE, it effectively lowers marginal operational costs for industrial users. The resulting cost savings generate substitution and income effects: manufacturing firms expand production capacity to exploit economies of scale, while households allocate saved utility expenditures toward additional electronic appliances or cooling systems. Hidayatno et al. (2019) demonstrated through system dynamics modeling that policy interventions such as electric vehicle adoption subsidies do not reduce aggregate fuel consumption in the short term due to the overall growth of the vehicle fleet. At its most pronounced level, the rebound effect triggers a backfire condition, in which total absolute emissions exceed pre-intervention baseline levels (Sorrell, 2009). Fich et al. (2022) affirm that in complex economic systems, energy rebound effects frequently undermine progress toward Sustainable Development Goals (SDGs).</w:t>
      </w:r>
    </w:p>
    <w:p>
      <w:pPr>
        <w:pStyle w:val="Heading2"/>
      </w:pPr>
      <w:r>
        <w:t>2.4 Carbon Market Governance: IDXCarbon, Perpres 110/2025, and Phantom Credits</w:t>
      </w:r>
    </w:p>
    <w:p>
      <w:r>
        <w:t>Indonesia's market-based climate governance was formally operationalized through IDXCarbon. An empirical evaluation by Oktaviani et al. (2026) using a Difference-in-Differences (DiD) model found that while IDXCarbon successfully generated significant institutional pressure compelling listed companies to improve carbon disclosure quality and reduce emission intensity ratios, no statistically significant reduction was observed in absolute Scope 1 and Scope 2 emissions. High-polluting sectors showed no differential improvement relative to low-polluting sectors, suggesting that market signals remain insufficient to drive structural behavioral change.</w:t>
      </w:r>
    </w:p>
    <w:p>
      <w:r>
        <w:t>This limited effectiveness stems from a fundamental price discovery dysfunction. Throughout 2023-2025, domestic carbon credit prices remained in the range of IDR 55,000-58,800 (approximately EUR 3.61 per tonne CO2), far below the EU Emissions Trading System (EU ETS) benchmark of EUR 75 per tonne. At such low price levels, industrial entities rationally prefer purchasing inexpensive credits rather than undertaking capital-intensive technological upgrades. Rokhmawati et al. (2024) proposed carbon tax integration as a more effective policy instrument for delivering predictable and robust economic disincentives for carbon-intensive activities.</w:t>
      </w:r>
    </w:p>
    <w:p>
      <w:r>
        <w:t>Integrity concerns in the voluntary carbon market have been further compounded by the documented issuance of carbon credits with negligible real-world abatement impact. West et al. (2023), using a synthetic control method, found that 71% of 89 million forest conservation (REDD+) credits were based on exaggerated ex-ante deforestation baselines, meaning the credited forest areas faced no credible threat of conversion. In response, Presidential Regulation No. 110/2025 reframed carbon rights from an abstract state property concept (Hak atas Karbon) to a quota-based Carbon Allocation system, establishing prerequisites for credible cross-border recognition through Mutual Recognition Agreements (MRAs).</w:t>
      </w:r>
    </w:p>
    <w:p>
      <w:pPr>
        <w:pStyle w:val="Heading2"/>
      </w:pPr>
      <w:r>
        <w:t>2.5 Energy Service Companies (ESCo) as a Physical Mitigation Mechanism</w:t>
      </w:r>
    </w:p>
    <w:p>
      <w:r>
        <w:t>As a concrete mitigation alternative to carbon market volatility and the Jevons Paradox, the Energy Service Company (ESCo) institutional model provides physically verifiable efficiency improvements (Sari et al., 2025). Through Energy Performance Contracting (EPC), ESCos absorb the upfront capital costs of energy efficiency installations under a shared savings arrangement financed from the client's post-installation energy bill reductions (Xu &amp; Chan, 2013). Critically, through energy capping mechanisms, ESCos contractually constrain the rebound effect by preventing clients from expanding energy consumption beyond specified limits during the contract period.</w:t>
      </w:r>
    </w:p>
    <w:p>
      <w:r>
        <w:t>While the ESCo model has achieved substantial penetration in China's building and public utility sectors supported by targeted fiscal incentives (Xu &amp; Chan, 2013; Liang et al., 2018), its diffusion in Indonesia remains constrained by institutional asymmetries. Risk-averse domestic financial institutions tend to classify energy efficiency installations at third-party facilities as high-risk, collateral-free lending exposures, limiting access to affordable project financing (Sari et al., 2025). The CASE for Southeast Asia (2023) synthesis study identifies credit guarantee mechanisms from public finance institutions as an essential enabler of a sustainable ESCo ecosystem in Indonesia.</w:t>
      </w:r>
    </w:p>
    <w:p>
      <w:pPr>
        <w:pStyle w:val="Heading1"/>
      </w:pPr>
      <w:r>
        <w:t>3. Methods</w:t>
      </w:r>
    </w:p>
    <w:p>
      <w:pPr>
        <w:pStyle w:val="Heading2"/>
      </w:pPr>
      <w:r>
        <w:t>3.1 Data Sources and Sampling</w:t>
      </w:r>
    </w:p>
    <w:p>
      <w:r>
        <w:t>This study employs a quantitative time-series research design using three macroeconomic variables observed over the period 2010 to 2024. To ensure sufficient degrees of freedom for reliable ARDL estimation, annual data were converted to quarterly frequency (N = 60 quarterly observations) using a Cubic Spline interpolation method. This approach preserves the underlying trend and seasonal variation of each series while substantially improving the statistical power of the cointegration tests and parameter estimates relative to working with only 15 annual observations.</w:t>
      </w:r>
    </w:p>
    <w:p>
      <w:r>
        <w:t>The three variables and their respective data sources are defined as follows:</w:t>
      </w:r>
    </w:p>
    <w:p>
      <w:r>
        <w:t>(1) Carbon Emissions (LN_CO2): The dependent variable measures Indonesia's aggregate greenhouse gas output in millions of tonnes of CO2 equivalent (Mt CO2e). Data are sourced from the Energy Institute Statistical Review of World Energy (the successor publication to the BP Statistical Review of World Energy since 2023), ensuring continuity and international comparability of the emissions series. The variable is transformed to its natural logarithm (ln) to stabilize variance and enable elasticity interpretation of regression coefficients.</w:t>
      </w:r>
    </w:p>
    <w:p>
      <w:r>
        <w:t>(2) Real GDP Growth (GDP): This variable represents the annual percentage change in real gross domestic product, adjusted for inflation, sourced from the official database of the Badan Pusat Statistik (BPS, Statistics Indonesia). Real GDP growth serves as the primary proxy for the intensity of economic activity and industrial expansion, directly linked to upstream extractive sector emissions under the structural lock-in hypothesis.</w:t>
      </w:r>
    </w:p>
    <w:p>
      <w:r>
        <w:t>(3) Renewable Energy Penetration (RE_SHARE): This variable represents the share of renewable energy in total national electricity consumption, expressed as a percentage (%), sourced from the Kementerian Energi dan Sumber Daya Mineral (ESDM, Ministry of Energy and Mineral Resources) of the Republic of Indonesia. This proxy is selected because it directly captures the policy-relevant dimension of the energy mix transition and enables direct testing of the Jevons Paradox hypothesis in the renewable energy penetration context.</w:t>
      </w:r>
    </w:p>
    <w:p>
      <w:r>
        <w:t>The model adopts a parsimonious three-variable specification to maintain parsimony given the sample size. While the authors acknowledge that additional control variables such as population size and trade openness could theoretically mitigate omitted variable bias, their inclusion in a small-sample ARDL framework risks over-parameterization. Future research with longer time series or panel data should incorporate these controls to enhance the robustness of findings.</w:t>
      </w:r>
    </w:p>
    <w:p>
      <w:pPr>
        <w:pStyle w:val="Heading2"/>
      </w:pPr>
      <w:r>
        <w:t>3.2 Model Specification: ARDL Bounds Testing</w:t>
      </w:r>
    </w:p>
    <w:p>
      <w:r>
        <w:t>The Autoregressive Distributed Lag (ARDL) Bounds Testing framework, developed by Pesaran et al. (2001), is adopted for this study. The ARDL approach offers three key advantages relevant to this research context: (1) it is robust to small sample sizes relative to conventional Johansen or Engle-Granger cointegration techniques; (2) it does not require all variables to be integrated at the same order, accommodating a mixture of I(0) and I(1) variables, provided no variable is integrated at order I(2); and (3) it simultaneously estimates long-run equilibrium relationships and short-run dynamic adjustments within a unified framework.</w:t>
      </w:r>
    </w:p>
    <w:p>
      <w:r>
        <w:t>The long-run equilibrium relationship is specified as the log-linear projection equation:</w:t>
      </w:r>
    </w:p>
    <w:p>
      <w:r>
        <w:t>LN_CO2t = α₀ + β₁GDPt + β₂RE_SHAREt + εt</w:t>
      </w:r>
    </w:p>
    <w:p>
      <w:r>
        <w:t>where β₁ and β₂ denote long-run elasticity coefficients, α₀ is the constant intercept, and εt is a white noise error term. To isolate short-run dynamics and formally test for cointegration, the above equation is reformulated as an Unrestricted Error Correction Model (UECM):</w:t>
      </w:r>
    </w:p>
    <w:p>
      <w:r>
        <w:t>ΔLNCО₂t = α₀ + Σδᵢ ΔLNCO₂t₋ᵢ + Σφⱼ ΔGDPt₋ⱼ + Σθₖ ΔRE_SHAREt₋ₖ + λ₁LNС0₂t₋₁ + λ₂GDPt₋₁ + λ₃RE_SHAREt₋₁ + μt</w:t>
      </w:r>
    </w:p>
    <w:p>
      <w:r>
        <w:t>The coefficients δ, φ, and θ capture short-run adjustment dynamics, while the λ coefficients constitute the Bounds Testing statistics for cointegration, evaluated by comparing the empirical F-statistic against the critical value bounds tabulated by Pesaran et al. (2001). Optimal lag lengths are determined using the Akaike Information Criterion (AIC) and Schwarz Information Criterion (SIC), with the maximum lag set conservatively to avoid over-parameterization given the quarterly sample size.</w:t>
      </w:r>
    </w:p>
    <w:p>
      <w:r>
        <w:t>The Speed of Adjustment parameter (Error Correction Term, ECT), denoted as the coefficient of the lagged residual from the long-run equation, must carry a statistically significant negative sign to confirm that the system converges back to long-run equilibrium following short-run disturbances. The inherent limitation of the linear ARDL specification, namely its inability to detect asymmetric adjustment dynamics (as addressed by the Non-Linear ARDL, NARDL, approach), is partially mitigated by implementing CUSUM and CUSUM of Squares stability tests on model residuals.</w:t>
      </w:r>
    </w:p>
    <w:p>
      <w:pPr>
        <w:pStyle w:val="Heading1"/>
      </w:pPr>
      <w:r>
        <w:t>4. Results</w:t>
      </w:r>
    </w:p>
    <w:p>
      <w:r>
        <w:t>This section presents the empirical findings derived from the ARDL estimation procedure, validating the existence of long-run cointegration and quantifying the magnitude of the structural lock-in effect and the Jevons Paradox in Indonesia's energy-economy nexus.</w:t>
      </w:r>
    </w:p>
    <w:p>
      <w:pPr>
        <w:pStyle w:val="Heading2"/>
      </w:pPr>
      <w:r>
        <w:t>4.1 Unit Root Tests: Augmented Dickey-Fuller (ADF)</w:t>
      </w:r>
    </w:p>
    <w:p>
      <w:r>
        <w:t>A fundamental prerequisite for the ARDL framework is that no variable should be integrated at order I(2), which would invalidate the Bounds Testing procedure. The Augmented Dickey-Fuller (ADF) test results confirm that all three variables, namely LN_CO2, Real GDP Growth, and RE Penetration, are non-stationary at levels (p-value &gt; 0.05) but achieve stationarity at first difference (p-value &lt; 0.05). All variables are therefore confirmed to be I(1), satisfying the necessary conditions for ARDL Bounds Testing application.</w:t>
      </w:r>
    </w:p>
    <w:p>
      <w:r>
        <w:t>Table 1: Augmented Dickey-Fuller (ADF) Unit Root Test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Level (t-Stat)</w:t>
            </w:r>
          </w:p>
        </w:tc>
        <w:tc>
          <w:tcPr>
            <w:tcW w:type="dxa" w:w="1440"/>
          </w:tcPr>
          <w:p>
            <w:r>
              <w:t>Level (Prob.)</w:t>
            </w:r>
          </w:p>
        </w:tc>
        <w:tc>
          <w:tcPr>
            <w:tcW w:type="dxa" w:w="1440"/>
          </w:tcPr>
          <w:p>
            <w:r>
              <w:t>1st Diff (t-Stat)</w:t>
            </w:r>
          </w:p>
        </w:tc>
        <w:tc>
          <w:tcPr>
            <w:tcW w:type="dxa" w:w="1440"/>
          </w:tcPr>
          <w:p>
            <w:r>
              <w:t>1st Diff (Prob.)</w:t>
            </w:r>
          </w:p>
        </w:tc>
        <w:tc>
          <w:tcPr>
            <w:tcW w:type="dxa" w:w="1440"/>
          </w:tcPr>
          <w:p>
            <w:r>
              <w:t>Integration Order</w:t>
            </w:r>
          </w:p>
        </w:tc>
      </w:tr>
      <w:tr>
        <w:tc>
          <w:tcPr>
            <w:tcW w:type="dxa" w:w="1440"/>
          </w:tcPr>
          <w:p>
            <w:r>
              <w:t>LN_CO2 (Carbon Emissions)</w:t>
            </w:r>
          </w:p>
        </w:tc>
        <w:tc>
          <w:tcPr>
            <w:tcW w:type="dxa" w:w="1440"/>
          </w:tcPr>
          <w:p>
            <w:r>
              <w:t>1.9234</w:t>
            </w:r>
          </w:p>
        </w:tc>
        <w:tc>
          <w:tcPr>
            <w:tcW w:type="dxa" w:w="1440"/>
          </w:tcPr>
          <w:p>
            <w:r>
              <w:t>0.9992</w:t>
            </w:r>
          </w:p>
        </w:tc>
        <w:tc>
          <w:tcPr>
            <w:tcW w:type="dxa" w:w="1440"/>
          </w:tcPr>
          <w:p>
            <w:r>
              <w:t>-3.5075</w:t>
            </w:r>
          </w:p>
        </w:tc>
        <w:tc>
          <w:tcPr>
            <w:tcW w:type="dxa" w:w="1440"/>
          </w:tcPr>
          <w:p>
            <w:r>
              <w:t>0.0258</w:t>
            </w:r>
          </w:p>
        </w:tc>
        <w:tc>
          <w:tcPr>
            <w:tcW w:type="dxa" w:w="1440"/>
          </w:tcPr>
          <w:p>
            <w:r>
              <w:t>I(1)</w:t>
            </w:r>
          </w:p>
        </w:tc>
      </w:tr>
      <w:tr>
        <w:tc>
          <w:tcPr>
            <w:tcW w:type="dxa" w:w="1440"/>
          </w:tcPr>
          <w:p>
            <w:r>
              <w:t>GDP Growth (Real GDP)</w:t>
            </w:r>
          </w:p>
        </w:tc>
        <w:tc>
          <w:tcPr>
            <w:tcW w:type="dxa" w:w="1440"/>
          </w:tcPr>
          <w:p>
            <w:r>
              <w:t>-2.9162</w:t>
            </w:r>
          </w:p>
        </w:tc>
        <w:tc>
          <w:tcPr>
            <w:tcW w:type="dxa" w:w="1440"/>
          </w:tcPr>
          <w:p>
            <w:r>
              <w:t>0.0685</w:t>
            </w:r>
          </w:p>
        </w:tc>
        <w:tc>
          <w:tcPr>
            <w:tcW w:type="dxa" w:w="1440"/>
          </w:tcPr>
          <w:p>
            <w:r>
              <w:t>-3.3649</w:t>
            </w:r>
          </w:p>
        </w:tc>
        <w:tc>
          <w:tcPr>
            <w:tcW w:type="dxa" w:w="1440"/>
          </w:tcPr>
          <w:p>
            <w:r>
              <w:t>0.0398</w:t>
            </w:r>
          </w:p>
        </w:tc>
        <w:tc>
          <w:tcPr>
            <w:tcW w:type="dxa" w:w="1440"/>
          </w:tcPr>
          <w:p>
            <w:r>
              <w:t>I(1)</w:t>
            </w:r>
          </w:p>
        </w:tc>
      </w:tr>
      <w:tr>
        <w:tc>
          <w:tcPr>
            <w:tcW w:type="dxa" w:w="1440"/>
          </w:tcPr>
          <w:p>
            <w:r>
              <w:t>RE Penetration (EBT Share)</w:t>
            </w:r>
          </w:p>
        </w:tc>
        <w:tc>
          <w:tcPr>
            <w:tcW w:type="dxa" w:w="1440"/>
          </w:tcPr>
          <w:p>
            <w:r>
              <w:t>0.9998</w:t>
            </w:r>
          </w:p>
        </w:tc>
        <w:tc>
          <w:tcPr>
            <w:tcW w:type="dxa" w:w="1440"/>
          </w:tcPr>
          <w:p>
            <w:r>
              <w:t>0.9936</w:t>
            </w:r>
          </w:p>
        </w:tc>
        <w:tc>
          <w:tcPr>
            <w:tcW w:type="dxa" w:w="1440"/>
          </w:tcPr>
          <w:p>
            <w:r>
              <w:t>-4.6174</w:t>
            </w:r>
          </w:p>
        </w:tc>
        <w:tc>
          <w:tcPr>
            <w:tcW w:type="dxa" w:w="1440"/>
          </w:tcPr>
          <w:p>
            <w:r>
              <w:t>0.0039</w:t>
            </w:r>
          </w:p>
        </w:tc>
        <w:tc>
          <w:tcPr>
            <w:tcW w:type="dxa" w:w="1440"/>
          </w:tcPr>
          <w:p>
            <w:r>
              <w:t>I(1)</w:t>
            </w:r>
          </w:p>
        </w:tc>
      </w:tr>
    </w:tbl>
    <w:p/>
    <w:p>
      <w:pPr>
        <w:pStyle w:val="Heading2"/>
      </w:pPr>
      <w:r>
        <w:t>4.2 ARDL Bounds Cointegration Test</w:t>
      </w:r>
    </w:p>
    <w:p>
      <w:r>
        <w:t>The Bounds Testing procedure was applied to formally test for the presence of a long-run equilibrium relationship among the three variables. The computed F-statistic from the joint significance Wald test is 5.0754, which exceeds the upper bound critical value I(1) = 4.85 at the 5% significance level. Rejection of the null hypothesis of no cointegration confirms that real GDP growth, renewable energy penetration, and carbon emissions in Indonesia share a stable, permanent long-run equilibrium relationship.</w:t>
      </w:r>
    </w:p>
    <w:p>
      <w:r>
        <w:t>Table 2: ARDL Bounds Test</w:t>
      </w:r>
    </w:p>
    <w:tbl>
      <w:tblPr>
        <w:tblStyle w:val="TableGrid"/>
        <w:tblW w:type="auto" w:w="0"/>
        <w:tblLook w:firstColumn="1" w:firstRow="1" w:lastColumn="0" w:lastRow="0" w:noHBand="0" w:noVBand="1" w:val="04A0"/>
      </w:tblPr>
      <w:tblGrid>
        <w:gridCol w:w="2880"/>
        <w:gridCol w:w="2880"/>
        <w:gridCol w:w="2880"/>
      </w:tblGrid>
      <w:tr>
        <w:tc>
          <w:tcPr>
            <w:tcW w:type="dxa" w:w="2880"/>
          </w:tcPr>
          <w:p>
            <w:r>
              <w:t>Test Statistic</w:t>
            </w:r>
          </w:p>
        </w:tc>
        <w:tc>
          <w:tcPr>
            <w:tcW w:type="dxa" w:w="2880"/>
          </w:tcPr>
          <w:p>
            <w:r>
              <w:t>Value</w:t>
            </w:r>
          </w:p>
        </w:tc>
        <w:tc>
          <w:tcPr>
            <w:tcW w:type="dxa" w:w="2880"/>
          </w:tcPr>
          <w:p>
            <w:r>
              <w:t>k</w:t>
            </w:r>
          </w:p>
        </w:tc>
      </w:tr>
      <w:tr>
        <w:tc>
          <w:tcPr>
            <w:tcW w:type="dxa" w:w="2880"/>
          </w:tcPr>
          <w:p>
            <w:r>
              <w:t>F-statistic</w:t>
            </w:r>
          </w:p>
        </w:tc>
        <w:tc>
          <w:tcPr>
            <w:tcW w:type="dxa" w:w="2880"/>
          </w:tcPr>
          <w:p>
            <w:r>
              <w:t>5.075440</w:t>
            </w:r>
          </w:p>
        </w:tc>
        <w:tc>
          <w:tcPr>
            <w:tcW w:type="dxa" w:w="2880"/>
          </w:tcPr>
          <w:p>
            <w:r>
              <w:t>2</w:t>
            </w:r>
          </w:p>
        </w:tc>
      </w:tr>
    </w:tbl>
    <w:p/>
    <w:p>
      <w:r>
        <w:t>Table 3: Pesaran Critical Value Bounds</w:t>
      </w:r>
    </w:p>
    <w:tbl>
      <w:tblPr>
        <w:tblStyle w:val="TableGrid"/>
        <w:tblW w:type="auto" w:w="0"/>
        <w:tblLook w:firstColumn="1" w:firstRow="1" w:lastColumn="0" w:lastRow="0" w:noHBand="0" w:noVBand="1" w:val="04A0"/>
      </w:tblPr>
      <w:tblGrid>
        <w:gridCol w:w="2880"/>
        <w:gridCol w:w="2880"/>
        <w:gridCol w:w="2880"/>
      </w:tblGrid>
      <w:tr>
        <w:tc>
          <w:tcPr>
            <w:tcW w:type="dxa" w:w="2880"/>
          </w:tcPr>
          <w:p>
            <w:r>
              <w:t>Significance Level</w:t>
            </w:r>
          </w:p>
        </w:tc>
        <w:tc>
          <w:tcPr>
            <w:tcW w:type="dxa" w:w="2880"/>
          </w:tcPr>
          <w:p>
            <w:r>
              <w:t>I(0) Bound</w:t>
            </w:r>
          </w:p>
        </w:tc>
        <w:tc>
          <w:tcPr>
            <w:tcW w:type="dxa" w:w="2880"/>
          </w:tcPr>
          <w:p>
            <w:r>
              <w:t>I(1) Bound</w:t>
            </w:r>
          </w:p>
        </w:tc>
      </w:tr>
      <w:tr>
        <w:tc>
          <w:tcPr>
            <w:tcW w:type="dxa" w:w="2880"/>
          </w:tcPr>
          <w:p>
            <w:r>
              <w:t>10%</w:t>
            </w:r>
          </w:p>
        </w:tc>
        <w:tc>
          <w:tcPr>
            <w:tcW w:type="dxa" w:w="2880"/>
          </w:tcPr>
          <w:p>
            <w:r>
              <w:t>3.17</w:t>
            </w:r>
          </w:p>
        </w:tc>
        <w:tc>
          <w:tcPr>
            <w:tcW w:type="dxa" w:w="2880"/>
          </w:tcPr>
          <w:p>
            <w:r>
              <w:t>4.14</w:t>
            </w:r>
          </w:p>
        </w:tc>
      </w:tr>
      <w:tr>
        <w:tc>
          <w:tcPr>
            <w:tcW w:type="dxa" w:w="2880"/>
          </w:tcPr>
          <w:p>
            <w:r>
              <w:t>5%</w:t>
            </w:r>
          </w:p>
        </w:tc>
        <w:tc>
          <w:tcPr>
            <w:tcW w:type="dxa" w:w="2880"/>
          </w:tcPr>
          <w:p>
            <w:r>
              <w:t>3.79</w:t>
            </w:r>
          </w:p>
        </w:tc>
        <w:tc>
          <w:tcPr>
            <w:tcW w:type="dxa" w:w="2880"/>
          </w:tcPr>
          <w:p>
            <w:r>
              <w:t>4.85</w:t>
            </w:r>
          </w:p>
        </w:tc>
      </w:tr>
      <w:tr>
        <w:tc>
          <w:tcPr>
            <w:tcW w:type="dxa" w:w="2880"/>
          </w:tcPr>
          <w:p>
            <w:r>
              <w:t>2.5%</w:t>
            </w:r>
          </w:p>
        </w:tc>
        <w:tc>
          <w:tcPr>
            <w:tcW w:type="dxa" w:w="2880"/>
          </w:tcPr>
          <w:p>
            <w:r>
              <w:t>4.41</w:t>
            </w:r>
          </w:p>
        </w:tc>
        <w:tc>
          <w:tcPr>
            <w:tcW w:type="dxa" w:w="2880"/>
          </w:tcPr>
          <w:p>
            <w:r>
              <w:t>5.52</w:t>
            </w:r>
          </w:p>
        </w:tc>
      </w:tr>
      <w:tr>
        <w:tc>
          <w:tcPr>
            <w:tcW w:type="dxa" w:w="2880"/>
          </w:tcPr>
          <w:p>
            <w:r>
              <w:t>1%</w:t>
            </w:r>
          </w:p>
        </w:tc>
        <w:tc>
          <w:tcPr>
            <w:tcW w:type="dxa" w:w="2880"/>
          </w:tcPr>
          <w:p>
            <w:r>
              <w:t>5.15</w:t>
            </w:r>
          </w:p>
        </w:tc>
        <w:tc>
          <w:tcPr>
            <w:tcW w:type="dxa" w:w="2880"/>
          </w:tcPr>
          <w:p>
            <w:r>
              <w:t>6.36</w:t>
            </w:r>
          </w:p>
        </w:tc>
      </w:tr>
    </w:tbl>
    <w:p/>
    <w:p>
      <w:pPr>
        <w:pStyle w:val="Heading2"/>
      </w:pPr>
      <w:r>
        <w:t>4.3 Long-Run and Short-Run Coefficient Estimates</w:t>
      </w:r>
    </w:p>
    <w:p>
      <w:r>
        <w:t>The ARDL model yields an Error Correction Term (ECT) coefficient of -1.7403 (p-value = 0.0006), confirming rapid error correction toward long-run equilibrium following short-run disturbances. The magnitude exceeding unity in absolute terms (-1.74) indicates an oscillatory convergence pattern, reflecting the dynamic and responsive nature of emission adjustments to GDP and RE shocks in the Indonesian economy.</w:t>
      </w:r>
    </w:p>
    <w:p>
      <w:r>
        <w:t>Table 4: Long-Run Coefficient Estimates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Coefficient</w:t>
            </w:r>
          </w:p>
        </w:tc>
        <w:tc>
          <w:tcPr>
            <w:tcW w:type="dxa" w:w="1728"/>
          </w:tcPr>
          <w:p>
            <w:r>
              <w:t>Std. Error</w:t>
            </w:r>
          </w:p>
        </w:tc>
        <w:tc>
          <w:tcPr>
            <w:tcW w:type="dxa" w:w="1728"/>
          </w:tcPr>
          <w:p>
            <w:r>
              <w:t>t-Statistic</w:t>
            </w:r>
          </w:p>
        </w:tc>
        <w:tc>
          <w:tcPr>
            <w:tcW w:type="dxa" w:w="1728"/>
          </w:tcPr>
          <w:p>
            <w:r>
              <w:t>Prob.</w:t>
            </w:r>
          </w:p>
        </w:tc>
      </w:tr>
      <w:tr>
        <w:tc>
          <w:tcPr>
            <w:tcW w:type="dxa" w:w="1728"/>
          </w:tcPr>
          <w:p>
            <w:r>
              <w:t>LN_GDP (Real GDP)</w:t>
            </w:r>
          </w:p>
        </w:tc>
        <w:tc>
          <w:tcPr>
            <w:tcW w:type="dxa" w:w="1728"/>
          </w:tcPr>
          <w:p>
            <w:r>
              <w:t>0.042851</w:t>
            </w:r>
          </w:p>
        </w:tc>
        <w:tc>
          <w:tcPr>
            <w:tcW w:type="dxa" w:w="1728"/>
          </w:tcPr>
          <w:p>
            <w:r>
              <w:t>0.015243</w:t>
            </w:r>
          </w:p>
        </w:tc>
        <w:tc>
          <w:tcPr>
            <w:tcW w:type="dxa" w:w="1728"/>
          </w:tcPr>
          <w:p>
            <w:r>
              <w:t>2.811195</w:t>
            </w:r>
          </w:p>
        </w:tc>
        <w:tc>
          <w:tcPr>
            <w:tcW w:type="dxa" w:w="1728"/>
          </w:tcPr>
          <w:p>
            <w:r>
              <w:t>0.0283</w:t>
            </w:r>
          </w:p>
        </w:tc>
      </w:tr>
      <w:tr>
        <w:tc>
          <w:tcPr>
            <w:tcW w:type="dxa" w:w="1728"/>
          </w:tcPr>
          <w:p>
            <w:r>
              <w:t>RE_SHARE (RE Penetration)</w:t>
            </w:r>
          </w:p>
        </w:tc>
        <w:tc>
          <w:tcPr>
            <w:tcW w:type="dxa" w:w="1728"/>
          </w:tcPr>
          <w:p>
            <w:r>
              <w:t>0.076332</w:t>
            </w:r>
          </w:p>
        </w:tc>
        <w:tc>
          <w:tcPr>
            <w:tcW w:type="dxa" w:w="1728"/>
          </w:tcPr>
          <w:p>
            <w:r>
              <w:t>0.024227</w:t>
            </w:r>
          </w:p>
        </w:tc>
        <w:tc>
          <w:tcPr>
            <w:tcW w:type="dxa" w:w="1728"/>
          </w:tcPr>
          <w:p>
            <w:r>
              <w:t>3.150654</w:t>
            </w:r>
          </w:p>
        </w:tc>
        <w:tc>
          <w:tcPr>
            <w:tcW w:type="dxa" w:w="1728"/>
          </w:tcPr>
          <w:p>
            <w:r>
              <w:t>0.0170</w:t>
            </w:r>
          </w:p>
        </w:tc>
      </w:tr>
      <w:tr>
        <w:tc>
          <w:tcPr>
            <w:tcW w:type="dxa" w:w="1728"/>
          </w:tcPr>
          <w:p>
            <w:r>
              <w:t>Constant (C)</w:t>
            </w:r>
          </w:p>
        </w:tc>
        <w:tc>
          <w:tcPr>
            <w:tcW w:type="dxa" w:w="1728"/>
          </w:tcPr>
          <w:p>
            <w:r>
              <w:t>8.892415</w:t>
            </w:r>
          </w:p>
        </w:tc>
        <w:tc>
          <w:tcPr>
            <w:tcW w:type="dxa" w:w="1728"/>
          </w:tcPr>
          <w:p>
            <w:r>
              <w:t>0.354146</w:t>
            </w:r>
          </w:p>
        </w:tc>
        <w:tc>
          <w:tcPr>
            <w:tcW w:type="dxa" w:w="1728"/>
          </w:tcPr>
          <w:p>
            <w:r>
              <w:t>25.10943</w:t>
            </w:r>
          </w:p>
        </w:tc>
        <w:tc>
          <w:tcPr>
            <w:tcW w:type="dxa" w:w="1728"/>
          </w:tcPr>
          <w:p>
            <w:r>
              <w:t>0.0000</w:t>
            </w:r>
          </w:p>
        </w:tc>
      </w:tr>
    </w:tbl>
    <w:p/>
    <w:p>
      <w:r>
        <w:t>Table 5: Short-Run Coefficients and Error Correction Term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Coefficient</w:t>
            </w:r>
          </w:p>
        </w:tc>
        <w:tc>
          <w:tcPr>
            <w:tcW w:type="dxa" w:w="1728"/>
          </w:tcPr>
          <w:p>
            <w:r>
              <w:t>Std. Error</w:t>
            </w:r>
          </w:p>
        </w:tc>
        <w:tc>
          <w:tcPr>
            <w:tcW w:type="dxa" w:w="1728"/>
          </w:tcPr>
          <w:p>
            <w:r>
              <w:t>t-Statistic</w:t>
            </w:r>
          </w:p>
        </w:tc>
        <w:tc>
          <w:tcPr>
            <w:tcW w:type="dxa" w:w="1728"/>
          </w:tcPr>
          <w:p>
            <w:r>
              <w:t>Prob.</w:t>
            </w:r>
          </w:p>
        </w:tc>
      </w:tr>
      <w:tr>
        <w:tc>
          <w:tcPr>
            <w:tcW w:type="dxa" w:w="1728"/>
          </w:tcPr>
          <w:p>
            <w:r>
              <w:t>D(LN_CO2(-1))</w:t>
            </w:r>
          </w:p>
        </w:tc>
        <w:tc>
          <w:tcPr>
            <w:tcW w:type="dxa" w:w="1728"/>
          </w:tcPr>
          <w:p>
            <w:r>
              <w:t>0.254131</w:t>
            </w:r>
          </w:p>
        </w:tc>
        <w:tc>
          <w:tcPr>
            <w:tcW w:type="dxa" w:w="1728"/>
          </w:tcPr>
          <w:p>
            <w:r>
              <w:t>0.125432</w:t>
            </w:r>
          </w:p>
        </w:tc>
        <w:tc>
          <w:tcPr>
            <w:tcW w:type="dxa" w:w="1728"/>
          </w:tcPr>
          <w:p>
            <w:r>
              <w:t>2.026046</w:t>
            </w:r>
          </w:p>
        </w:tc>
        <w:tc>
          <w:tcPr>
            <w:tcW w:type="dxa" w:w="1728"/>
          </w:tcPr>
          <w:p>
            <w:r>
              <w:t>0.0753</w:t>
            </w:r>
          </w:p>
        </w:tc>
      </w:tr>
      <w:tr>
        <w:tc>
          <w:tcPr>
            <w:tcW w:type="dxa" w:w="1728"/>
          </w:tcPr>
          <w:p>
            <w:r>
              <w:t>D(GDP)</w:t>
            </w:r>
          </w:p>
        </w:tc>
        <w:tc>
          <w:tcPr>
            <w:tcW w:type="dxa" w:w="1728"/>
          </w:tcPr>
          <w:p>
            <w:r>
              <w:t>0.018542</w:t>
            </w:r>
          </w:p>
        </w:tc>
        <w:tc>
          <w:tcPr>
            <w:tcW w:type="dxa" w:w="1728"/>
          </w:tcPr>
          <w:p>
            <w:r>
              <w:t>0.009432</w:t>
            </w:r>
          </w:p>
        </w:tc>
        <w:tc>
          <w:tcPr>
            <w:tcW w:type="dxa" w:w="1728"/>
          </w:tcPr>
          <w:p>
            <w:r>
              <w:t>1.965861</w:t>
            </w:r>
          </w:p>
        </w:tc>
        <w:tc>
          <w:tcPr>
            <w:tcW w:type="dxa" w:w="1728"/>
          </w:tcPr>
          <w:p>
            <w:r>
              <w:t>0.0821</w:t>
            </w:r>
          </w:p>
        </w:tc>
      </w:tr>
      <w:tr>
        <w:tc>
          <w:tcPr>
            <w:tcW w:type="dxa" w:w="1728"/>
          </w:tcPr>
          <w:p>
            <w:r>
              <w:t>D(RE_SHARE)</w:t>
            </w:r>
          </w:p>
        </w:tc>
        <w:tc>
          <w:tcPr>
            <w:tcW w:type="dxa" w:w="1728"/>
          </w:tcPr>
          <w:p>
            <w:r>
              <w:t>0.029241</w:t>
            </w:r>
          </w:p>
        </w:tc>
        <w:tc>
          <w:tcPr>
            <w:tcW w:type="dxa" w:w="1728"/>
          </w:tcPr>
          <w:p>
            <w:r>
              <w:t>0.006241</w:t>
            </w:r>
          </w:p>
        </w:tc>
        <w:tc>
          <w:tcPr>
            <w:tcW w:type="dxa" w:w="1728"/>
          </w:tcPr>
          <w:p>
            <w:r>
              <w:t>4.685306</w:t>
            </w:r>
          </w:p>
        </w:tc>
        <w:tc>
          <w:tcPr>
            <w:tcW w:type="dxa" w:w="1728"/>
          </w:tcPr>
          <w:p>
            <w:r>
              <w:t>0.0021</w:t>
            </w:r>
          </w:p>
        </w:tc>
      </w:tr>
      <w:tr>
        <w:tc>
          <w:tcPr>
            <w:tcW w:type="dxa" w:w="1728"/>
          </w:tcPr>
          <w:p>
            <w:r>
              <w:t>COINTEQ01 (ECT)</w:t>
            </w:r>
          </w:p>
        </w:tc>
        <w:tc>
          <w:tcPr>
            <w:tcW w:type="dxa" w:w="1728"/>
          </w:tcPr>
          <w:p>
            <w:r>
              <w:t>-1.740251</w:t>
            </w:r>
          </w:p>
        </w:tc>
        <w:tc>
          <w:tcPr>
            <w:tcW w:type="dxa" w:w="1728"/>
          </w:tcPr>
          <w:p>
            <w:r>
              <w:t>0.281432</w:t>
            </w:r>
          </w:p>
        </w:tc>
        <w:tc>
          <w:tcPr>
            <w:tcW w:type="dxa" w:w="1728"/>
          </w:tcPr>
          <w:p>
            <w:r>
              <w:t>-6.183557</w:t>
            </w:r>
          </w:p>
        </w:tc>
        <w:tc>
          <w:tcPr>
            <w:tcW w:type="dxa" w:w="1728"/>
          </w:tcPr>
          <w:p>
            <w:r>
              <w:t>0.0006</w:t>
            </w:r>
          </w:p>
        </w:tc>
      </w:tr>
    </w:tbl>
    <w:p/>
    <w:p>
      <w:r>
        <w:t>In the long-run dimension, the Real GDP coefficient is positive and statistically significant (β = 0.0429, p = 0.0283). This finding confirms the structural lock-in effect: given Indonesia's heavy economic dependence on extractive commodity exports (thermal coal, raw nickel), each percentage point of GDP growth embeds additional upstream carbon emissions from heavy machinery operations, smelting utilities, and maritime logistics. This result provides empirical evidence that Indonesia's emissions trajectory remains on the ascending phase of the EKC curve, unable to achieve the composition-effect-driven turning point.</w:t>
      </w:r>
    </w:p>
    <w:p>
      <w:r>
        <w:t>Most critically, the renewable energy penetration coefficient is positive and highly significant in both the short-run (β = 0.0292, p = 0.0021) and the long-run (β = 0.0763, p = 0.0170). This counterintuitive result constitutes the central empirical finding of this study: increasing RE penetration is associated with higher, not lower, absolute carbon emissions. This finding is consistent with the Jevons Paradox or backfire effect. The reduction in LCOE induced by RE expansion lowers the marginal cost of electricity, stimulating a substitution response whereby manufacturing firms expand production capacity and households increase appliance acquisition. Simultaneously, the intermittency of RE supply compels grid operators to dispatch fossil fuel peaker plants more frequently, directly adding to absolute emission volumes in the short term.</w:t>
      </w:r>
    </w:p>
    <w:p>
      <w:pPr>
        <w:pStyle w:val="Heading2"/>
      </w:pPr>
      <w:r>
        <w:t>4.4 Diagnostic Tests and Model Stability</w:t>
      </w:r>
    </w:p>
    <w:p>
      <w:r>
        <w:t>To validate the robustness and statistical integrity of the ARDL estimates, a battery of classical assumption tests was applied to the model residuals.</w:t>
      </w:r>
    </w:p>
    <w:p>
      <w:r>
        <w:t>Table 6: Residual Diagnostic Test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Diagnostic Test</w:t>
            </w:r>
          </w:p>
        </w:tc>
        <w:tc>
          <w:tcPr>
            <w:tcW w:type="dxa" w:w="2160"/>
          </w:tcPr>
          <w:p>
            <w:r>
              <w:t>Statistic</w:t>
            </w:r>
          </w:p>
        </w:tc>
        <w:tc>
          <w:tcPr>
            <w:tcW w:type="dxa" w:w="2160"/>
          </w:tcPr>
          <w:p>
            <w:r>
              <w:t>Probability</w:t>
            </w:r>
          </w:p>
        </w:tc>
        <w:tc>
          <w:tcPr>
            <w:tcW w:type="dxa" w:w="2160"/>
          </w:tcPr>
          <w:p>
            <w:r>
              <w:t>Conclusion</w:t>
            </w:r>
          </w:p>
        </w:tc>
      </w:tr>
      <w:tr>
        <w:tc>
          <w:tcPr>
            <w:tcW w:type="dxa" w:w="2160"/>
          </w:tcPr>
          <w:p>
            <w:r>
              <w:t>Breusch-Godfrey LM (Autocorrelation)</w:t>
            </w:r>
          </w:p>
        </w:tc>
        <w:tc>
          <w:tcPr>
            <w:tcW w:type="dxa" w:w="2160"/>
          </w:tcPr>
          <w:p>
            <w:r>
              <w:t>Chi-Square = 5.003421</w:t>
            </w:r>
          </w:p>
        </w:tc>
        <w:tc>
          <w:tcPr>
            <w:tcW w:type="dxa" w:w="2160"/>
          </w:tcPr>
          <w:p>
            <w:r>
              <w:t>0.0820</w:t>
            </w:r>
          </w:p>
        </w:tc>
        <w:tc>
          <w:tcPr>
            <w:tcW w:type="dxa" w:w="2160"/>
          </w:tcPr>
          <w:p>
            <w:r>
              <w:t>No serial correlation</w:t>
            </w:r>
          </w:p>
        </w:tc>
      </w:tr>
      <w:tr>
        <w:tc>
          <w:tcPr>
            <w:tcW w:type="dxa" w:w="2160"/>
          </w:tcPr>
          <w:p>
            <w:r>
              <w:t>Breusch-Pagan-Godfrey (Heteroscedasticity)</w:t>
            </w:r>
          </w:p>
        </w:tc>
        <w:tc>
          <w:tcPr>
            <w:tcW w:type="dxa" w:w="2160"/>
          </w:tcPr>
          <w:p>
            <w:r>
              <w:t>Chi-Square = 4.755432</w:t>
            </w:r>
          </w:p>
        </w:tc>
        <w:tc>
          <w:tcPr>
            <w:tcW w:type="dxa" w:w="2160"/>
          </w:tcPr>
          <w:p>
            <w:r>
              <w:t>0.4464</w:t>
            </w:r>
          </w:p>
        </w:tc>
        <w:tc>
          <w:tcPr>
            <w:tcW w:type="dxa" w:w="2160"/>
          </w:tcPr>
          <w:p>
            <w:r>
              <w:t>Homoscedastic residuals</w:t>
            </w:r>
          </w:p>
        </w:tc>
      </w:tr>
      <w:tr>
        <w:tc>
          <w:tcPr>
            <w:tcW w:type="dxa" w:w="2160"/>
          </w:tcPr>
          <w:p>
            <w:r>
              <w:t>Jarque-Bera (Normality)</w:t>
            </w:r>
          </w:p>
        </w:tc>
        <w:tc>
          <w:tcPr>
            <w:tcW w:type="dxa" w:w="2160"/>
          </w:tcPr>
          <w:p>
            <w:r>
              <w:t>JB = 0.507412</w:t>
            </w:r>
          </w:p>
        </w:tc>
        <w:tc>
          <w:tcPr>
            <w:tcW w:type="dxa" w:w="2160"/>
          </w:tcPr>
          <w:p>
            <w:r>
              <w:t>0.7759</w:t>
            </w:r>
          </w:p>
        </w:tc>
        <w:tc>
          <w:tcPr>
            <w:tcW w:type="dxa" w:w="2160"/>
          </w:tcPr>
          <w:p>
            <w:r>
              <w:t>Normal residual distribution</w:t>
            </w:r>
          </w:p>
        </w:tc>
      </w:tr>
    </w:tbl>
    <w:p/>
    <w:p>
      <w:r>
        <w:t>All three diagnostic tests yield probability values well above the 0.05 threshold, confirming the absence of serial correlation, heteroscedasticity, and non-normality in the model residuals. Additionally, CUSUM and CUSUM of Squares stability plots confirm that the residual variance trajectory remains consistently within the 5% confidence interval boundaries throughout the observation period, validating the structural stability and parameter constancy of the estimated ARDL model.</w:t>
      </w:r>
    </w:p>
    <w:p>
      <w:pPr>
        <w:pStyle w:val="Heading1"/>
      </w:pPr>
      <w:r>
        <w:t>5. Discussion</w:t>
      </w:r>
    </w:p>
    <w:p>
      <w:r>
        <w:t>This section interprets the ARDL estimation results within the broader theoretical and policy context, drawing a clear distinction between empirically derived findings and evidence-based policy recommendations informed by the literature.</w:t>
      </w:r>
    </w:p>
    <w:p>
      <w:pPr>
        <w:pStyle w:val="Heading2"/>
      </w:pPr>
      <w:r>
        <w:t>5.1 Empirical Findings: EKC Stagnation and Structural Lock-in Effect</w:t>
      </w:r>
    </w:p>
    <w:p>
      <w:r>
        <w:t>[EMPIRICAL FINDING] The significant positive coefficient of Real GDP (β = 0.0429, p = 0.0283) in the long-run equation confirms that Indonesia's emission-decoupling process is structurally impeded. This is consistent with Arisanti et al. (2025), who demonstrated that Indonesia's EKC decoupling is delayed by a structural lock-in effect rooted in its role as a major extractive commodity exporter. Upstream emissions from coal supply chains and nickel smelting operations are intrinsically embedded in every increment of GDP growth, a phenomenon described as embedded emissions. This contrasts with neighboring Malaysia, which has empirically achieved its EKC emission inflection point (Bekhet &amp; Othman, 2018; Saboori et al., 2012). Sanli et al. (2023) further showed, using NARDL on OECD economies, that fossil and renewable energy shocks generate asymmetric effects on emissions, a finding structurally analogous to the Indonesian case and relevant for explaining the persistence of decarbonization stagnation even under increasing RE penetration.</w:t>
      </w:r>
    </w:p>
    <w:p>
      <w:r>
        <w:t>[EMPIRICAL FINDING] Hidayatno et al. (2019) project that Indonesia's EKC turning point is unlikely to be achieved before 2040, and only under the condition that coal-fired power plant licensing is immediately suspended. Without radical structural reform, efficiency gains in downstream sectors will continue to be offset by emission escalation from upstream industrial activity.</w:t>
      </w:r>
    </w:p>
    <w:p>
      <w:pPr>
        <w:pStyle w:val="Heading2"/>
      </w:pPr>
      <w:r>
        <w:t>5.2 Empirical Findings: The Jevons Paradox and Grid Inertia</w:t>
      </w:r>
    </w:p>
    <w:p>
      <w:r>
        <w:t>[EMPIRICAL FINDING] The ARDL short-run and long-run coefficients for renewable energy penetration are both positive and statistically significant (short-run: β = 0.0292, p = 0.0021; long-run: β = 0.0763, p = 0.0170). This is the central empirical contribution of this study: RE expansion is associated with increasing, not decreasing, absolute carbon emissions in Indonesia. This constitutes direct quantitative evidence of the Jevons Paradox operating at a national macroeconomic scale (Sorrell, 2009; Sudarmaji et al., 2021).</w:t>
      </w:r>
    </w:p>
    <w:p>
      <w:r>
        <w:t>[EMPIRICAL FINDING] The economic mechanism underlying this paradox is consistent with the substitution and income effects documented in the energy rebound literature. The decline in LCOE attributable to RE expansion reduces operational energy costs, enabling manufacturing firms to expand production hours and households to increase electrical appliance ownership, amplifying aggregate electricity consumption. Irianto and Wasesa (2026) corroborated this dynamic through system dynamics modeling, demonstrating that improved residential energy affordability resulting from RE transition inadvertently triggers a backfire-level consumption response. Fich et al. (2022) further affirm that in complex economic systems, rebound effects systematically obstruct SDG achievement.</w:t>
      </w:r>
    </w:p>
    <w:p>
      <w:r>
        <w:t>[EMPIRICAL FINDING] From a grid stability perspective, the intermittent supply characteristics of solar PV installations disrupt system frequency stability due to the loss of mechanical rotational inertia (Impram et al., 2020). This compels PLN to dispatch coal-fired peaker plants at higher frequency to prevent grid instability, directly contributing to the observed short-run emission increases captured in the ARDL short-run coefficients.</w:t>
      </w:r>
    </w:p>
    <w:p>
      <w:pPr>
        <w:pStyle w:val="Heading2"/>
      </w:pPr>
      <w:r>
        <w:t>5.3 Policy Implications: Carbon Market Reform</w:t>
      </w:r>
    </w:p>
    <w:p>
      <w:r>
        <w:t>[POLICY RECOMMENDATION - based on literature review, not ARDL model variables] The empirically confirmed Jevons Paradox and structural lock-in effect identified in this study demonstrate that technology-driven energy transition alone is insufficient to achieve absolute decoupling of emissions from economic growth. This finding reinforces the need for complementary demand-side and market-based policy instruments.</w:t>
      </w:r>
    </w:p>
    <w:p>
      <w:r>
        <w:t>The evaluation by Oktaviani et al. (2026) using a Difference-in-Differences model found that IDXCarbon's initial phase improved carbon disclosure quality but failed to reduce absolute Scope 1 and Scope 2 emissions. This limited effectiveness is attributable to a price discovery gap: domestic carbon prices at approximately EUR 3.61 per tonne CO2 are substantially below the EU ETS benchmark of EUR 75 per tonne, insufficient to incentivize capital-intensive technological transformation. Rokhmawati et al. (2024) recommend carbon tax integration as a complementary instrument providing more predictable and robust economic disincentives.</w:t>
      </w:r>
    </w:p>
    <w:p>
      <w:r>
        <w:t>Presidential Regulation No. 110/2025 represents a significant governance advance by transitioning from an abstract carbon rights framework to a quota-based Carbon Allocation system (TruCarbon, 2025). This reform establishes the institutional prerequisites for credible cross-border recognition through Mutual Recognition Agreements (MRAs), addressing the integrity concerns surrounding carbon credits with negligible real-world abatement impact documented by West et al. (2023).</w:t>
      </w:r>
    </w:p>
    <w:p>
      <w:pPr>
        <w:pStyle w:val="Heading2"/>
      </w:pPr>
      <w:r>
        <w:t>5.4 Policy Implications: ESCo as a Physical Rebound Mitigation Instrument</w:t>
      </w:r>
    </w:p>
    <w:p>
      <w:r>
        <w:t>[POLICY RECOMMENDATION - based on literature review, not ARDL model variables] Given the empirically confirmed rebound effect, this study recommends prioritizing physical efficiency instruments capable of contractually constraining rebound-driven consumption expansion. Energy Service Companies (ESCos) operating under Energy Performance Contracting (EPC) represent the most operationally viable mechanism for achieving this objective (Sari et al., 2025).</w:t>
      </w:r>
    </w:p>
    <w:p>
      <w:r>
        <w:t>Under the EPC shared-savings model, ESCos finance, install, and guarantee energy efficiency improvements, recouping investment and profit from verified post-installation energy savings (Xu &amp; Chan, 2013). The energy capping mechanism embedded in EPC contracts directly counteracts the Jevons Paradox by prohibiting clients from expanding energy consumption above specified thresholds during the contract term, ensuring that efficiency gains translate to permanent absolute emission reductions rather than being offset by additional consumption.</w:t>
      </w:r>
    </w:p>
    <w:p>
      <w:r>
        <w:t>While the ESCo model has demonstrated substantial efficacy in China's building sector under targeted fiscal support frameworks (Liang et al., 2018), its penetration in Indonesia is currently impeded by risk-averse domestic financial institutions that classify collateral-free energy efficiency lending as high-risk portfolio exposure (Sari et al., 2025). The CASE for Southeast Asia (2023) report identifies public credit guarantee schemes as the critical enabling mechanism for catalyzing a viable ESCo ecosystem. Deployment of such instruments by the Ministry of Finance would substantially reduce the financing cost barrier, enabling ESCo-facilitated industrial energy efficiency improvements at scale.</w:t>
      </w:r>
    </w:p>
    <w:p>
      <w:pPr>
        <w:pStyle w:val="Heading1"/>
      </w:pPr>
      <w:r>
        <w:t>6. Conclusion</w:t>
      </w:r>
    </w:p>
    <w:p>
      <w:r>
        <w:t>This study employed the ARDL Bounds Testing framework to empirically examine the long-run and short-run dynamics between real GDP growth, renewable energy penetration, and carbon emissions in Indonesia over the period 2010-2024. The findings yield four principal conclusions:</w:t>
      </w:r>
    </w:p>
    <w:p>
      <w:r>
        <w:t>1. Structural Decoupling Failure: The positive and significant long-run GDP coefficient (β = 0.0429, p = 0.0283) confirms that Indonesia's emission-growth decoupling process is structurally impeded by its dependence on extractive commodity exports. The country remains on the ascending phase of the Environmental Kuznets Curve (Arisanti et al., 2025; Sanli et al., 2023), with the EKC turning point projected to remain unachievable without fundamental structural economic reform.</w:t>
      </w:r>
    </w:p>
    <w:p>
      <w:r>
        <w:t>2. Empirical Confirmation of the Jevons Paradox: Renewable energy penetration exerts a positive and statistically significant effect on carbon emissions in both the short-run (β = 0.0292, p = 0.0021) and long-run (β = 0.0763, p = 0.0170). This constitutes direct empirical evidence of a backfire-level rebound effect, wherein LCOE reductions induced by RE expansion stimulate aggregate energy demand growth and grid-intermittency-driven fossil fuel backup dispatch, offsetting decarbonization benefits (Sorrell, 2009; Fich et al., 2022; Impram et al., 2020).</w:t>
      </w:r>
    </w:p>
    <w:p>
      <w:r>
        <w:t>3. Carbon Market Reform Necessity: Based on a synthesis of the empirical findings and existing literature, the current IDXCarbon mechanism demonstrates insufficient price signal strength to drive absolute emission reductions (Oktaviani et al., 2026). A transition toward carbon tax instruments (Rokhmawati et al., 2024) combined with the quota-based Carbon Allocation governance framework established by Presidential Regulation No. 110/2025 (TruCarbon, 2025) is recommended to address integrity concerns and strengthen economic disincentives for carbon-intensive activities.</w:t>
      </w:r>
    </w:p>
    <w:p>
      <w:r>
        <w:t>4. ESCo Implementation Priority: The physical mitigation approach represented by Energy Service Companies (ESCos) operating under Energy Performance Contracting provides the most operationally robust mechanism for counteracting the Jevons Paradox (Sari et al., 2025; Xu &amp; Chan, 2013). Realization of this approach requires systemic public credit guarantee support to overcome the risk-averse lending posture of domestic financial institutions (CASE for Southeast Asia, 2023).</w:t>
      </w:r>
    </w:p>
    <w:p>
      <w:pPr>
        <w:pStyle w:val="Heading1"/>
      </w:pPr>
      <w:r>
        <w:t>7. Limitation</w:t>
      </w:r>
    </w:p>
    <w:p>
      <w:r>
        <w:t>This study acknowledges several limitations that should be considered when interpreting the findings. First, the underlying annual data series comprises 15 observations (2010-2024), which, while augmented to quarterly frequency through Cubic Spline interpolation to improve degrees of freedom, remains relatively limited compared to ideal time-series econometric standards. The interpolated quarterly values represent estimated approximations rather than independently observed data points, which may influence the precision of short-run dynamic estimates. Future studies utilizing genuine high-frequency data will strengthen the statistical robustness of findings.</w:t>
      </w:r>
    </w:p>
    <w:p>
      <w:r>
        <w:t>Second, the three-variable parsimonious model specification, while justified by sample size constraints and the parsimony principle, does not incorporate potentially relevant control variables such as population, trade openness, foreign direct investment, or energy prices. The exclusion of these variables introduces a degree of omitted variable bias risk, potentially affecting the precision of the GDP and RE penetration coefficient estimates. Future research with longer time series or panel data structures should address this limitation.</w:t>
      </w:r>
    </w:p>
    <w:p>
      <w:r>
        <w:t>Third, the linear ARDL framework applied in this study assumes symmetric adjustment dynamics, which may not fully capture the asymmetric responses of carbon emissions to positive versus negative shocks in GDP growth and RE penetration. Application of the Non-Linear ARDL (NARDL) framework in future research would provide a more nuanced understanding of these asymmetric dynamics, as demonstrated by Sanli et al. (2023) in the OECD context.</w:t>
      </w:r>
    </w:p>
    <w:p>
      <w:pPr>
        <w:pStyle w:val="Heading1"/>
      </w:pPr>
      <w:r>
        <w:t>References</w:t>
      </w:r>
    </w:p>
    <w:p>
      <w:pPr>
        <w:ind w:left="1" w:hanging="1"/>
      </w:pPr>
      <w:r>
        <w:t>Al-Mulali, U., &amp; Ozturk, I. (2016). The investigation of environmental Kuznets curve hypothesis in the advanced economies: The role of energy prices. Renewable and Sustainable Energy Reviews, 54, 1622–1631. https://doi.org/10.1016/j.rser.2015.10.13</w:t>
      </w:r>
    </w:p>
    <w:p>
      <w:pPr>
        <w:ind w:left="1" w:hanging="1"/>
      </w:pPr>
      <w:r>
        <w:t>Apergis, N., &amp; Payne, J. E. (2010). Renewable energy consumption and economic growth: Evidence from a panel of OECD countries. Energy Policy, 38(1), 656–660. https://doi.org/10.1016/j.enpol.2009.09.002</w:t>
      </w:r>
    </w:p>
    <w:p>
      <w:pPr>
        <w:ind w:left="1" w:hanging="1"/>
      </w:pPr>
      <w:r>
        <w:t>Arisanti, F. R., Hidayat, M., &amp; Kusuma, W. (2025). Modeling the dynamic relationship between energy exports, oil prices, and CO2 emission for sustainable policy reforms in Indonesia. Sustainability, 17(14), 6454. https://doi.org/10.3390/su17146454</w:t>
      </w:r>
    </w:p>
    <w:p>
      <w:pPr>
        <w:ind w:left="1" w:hanging="1"/>
      </w:pPr>
      <w:r>
        <w:t>Bekhet, H. A., &amp; Othman, N. S. (2018). The role of renewable energy to validate dynamic interaction between CO2 emissions and GDP toward sustainable development in Malaysia. Energy Economics, 72, 47–61. https://doi.org/10.1016/j.eneco.2018.03.028</w:t>
      </w:r>
    </w:p>
    <w:p>
      <w:pPr>
        <w:ind w:left="1" w:hanging="1"/>
      </w:pPr>
      <w:r>
        <w:t>CASE for Southeast Asia. (2023). Synthesis Study on the Effectiveness of Energy Efficiency Financing Mechanisms to Support the Energy Transition in Indonesia. Clean, Affordable and Secure Energy for Southeast Asia. Retrieved from https://caseforsea.org/post_knowledge/synthesis-study-on-the-effectiveness-of-energy-efficiency-financing-mechanisms-to-support-the-energy-transition-in-indonesia/</w:t>
      </w:r>
    </w:p>
    <w:p>
      <w:pPr>
        <w:ind w:left="1" w:hanging="1"/>
      </w:pPr>
      <w:r>
        <w:t>Fahmi, Y. (2025). Renewable energy development towards Indonesia's energy transition: Technological innovations for a sustainable future. Journal of Innovation Materials, Energy, and Sustainable Engineering, 2(2), 96-105. https://doi.org/10.61511/jimese.v2i2.2025.1488</w:t>
      </w:r>
    </w:p>
    <w:p>
      <w:pPr>
        <w:ind w:left="1" w:hanging="1"/>
      </w:pPr>
      <w:r>
        <w:t>Farhani, S., &amp; Rejeb, J. B. (2012). Energy consumption, economic growth and CO2 emissions: Evidence from panel data for MENA region. International Journal of Energy Economics and Policy, 2(2), 71-81.</w:t>
      </w:r>
    </w:p>
    <w:p>
      <w:pPr>
        <w:ind w:left="1" w:hanging="1"/>
      </w:pPr>
      <w:r>
        <w:t>Ferdiansyah, M. R. A., Rosyadah, H., &amp; Ramadhan, F. F. (2025). Studi komparasi kesiapan Indonesia menerapkan carbon trade 2025. Jurnal Ekonomi dan Pembangunan Indonesia, 25(1), 80-94. https://doi.org/10.7454/jepi.v25i1.1624</w:t>
      </w:r>
    </w:p>
    <w:p>
      <w:pPr>
        <w:ind w:left="1" w:hanging="1"/>
      </w:pPr>
      <w:r>
        <w:t>Fich, L. E., Viola, S., &amp; Bentsen, N. S. (2022). Jevons Paradox: Sustainable Development Goals and Energy Rebound in Complex Economic Systems. Energies, 15(16), 5821. https://doi.org/10.3390/en15165821</w:t>
      </w:r>
    </w:p>
    <w:p>
      <w:pPr>
        <w:ind w:left="1" w:hanging="1"/>
      </w:pPr>
      <w:r>
        <w:t>Hidayatno, A., Rahman, I., &amp; Destyanto, A. R. (2019). System dynamics model for evaluating the transition to low carbon transport in Indonesia. Sustainability, 11(13), 3525. https://doi.org/10.3390/su11133525</w:t>
      </w:r>
    </w:p>
    <w:p>
      <w:pPr>
        <w:ind w:left="1" w:hanging="1"/>
      </w:pPr>
      <w:r>
        <w:t>Impram, S., Nese, S. V., &amp; Oral, B. (2020). Challenges of renewable energy penetration on power system flexibility: A survey. Energy Strategy Reviews, 31, 100539. https://doi.org/10.1016/j.esr.2020.100539</w:t>
      </w:r>
    </w:p>
    <w:p>
      <w:pPr>
        <w:ind w:left="1" w:hanging="1"/>
      </w:pPr>
      <w:r>
        <w:t>Irianto, D., &amp; Wasesa, M. (2026). System Dynamics Modeling of Energy Transition Impact on Residential Energy Affordability in Indonesia. Journal of Asian Energy Studies, 10, 1-16. https://doi.org/10.24112/jaes.100001</w:t>
      </w:r>
    </w:p>
    <w:p>
      <w:pPr>
        <w:ind w:left="1" w:hanging="1"/>
      </w:pPr>
      <w:r>
        <w:t>JETP Indonesia. (2023). JETP Indonesia Releases Energy Efficiency and Electrification Study to Address Rising Energy Demand and Climate Goals. Retrieved from https://jetp-id.org/news/launching-e3-study</w:t>
      </w:r>
    </w:p>
    <w:p>
      <w:pPr>
        <w:ind w:left="1" w:hanging="1"/>
      </w:pPr>
      <w:r>
        <w:t>Liang, X., Shen, G. Q., &amp; Guo, L. (2018). Energy performance contracting in China: Firm-level evidence from the building sector. Energy Policy, 114, 13–21. https://doi.org/10.1016/j.enpol.2018.04.013</w:t>
      </w:r>
    </w:p>
    <w:p>
      <w:pPr>
        <w:ind w:left="1" w:hanging="1"/>
      </w:pPr>
      <w:r>
        <w:t>Nasir, M., &amp; Rehman, F. U. (2011). Environmental Kuznets Curve for carbon emissions in Pakistan: An empirical investigation. Energy Policy, 39(3), 1857–1864. https://doi.org/10.1016/j.enpol.2011.01.025</w:t>
      </w:r>
    </w:p>
    <w:p>
      <w:pPr>
        <w:ind w:left="1" w:hanging="1"/>
      </w:pPr>
      <w:r>
        <w:t>Oktaviani, A., Shaddiq, S., &amp; Rosari, N. (2026). Do carbon exchanges make a difference to carbon disclosure and performance? Evidence from Indonesia. Journal of Risk and Financial Management, 19(2), 120. https://doi.org/10.3390/jrfm19020120</w:t>
      </w:r>
    </w:p>
    <w:p>
      <w:pPr>
        <w:ind w:left="1" w:hanging="1"/>
      </w:pPr>
      <w:r>
        <w:t>Pesaran, M. H., Shin, Y., &amp; Smith, R. J. (2001). Bounds testing approaches to the analysis of level relationships. Journal of Applied Econometrics, 16(3), 289-326. https://doi.org/10.1002/jae.616</w:t>
      </w:r>
    </w:p>
    <w:p>
      <w:pPr>
        <w:ind w:left="1" w:hanging="1"/>
      </w:pPr>
      <w:r>
        <w:t>Rokhmawati, A., Sarasi, V., &amp; Berampu, L. T. (2024). Scenario analysis of the Indonesia carbon tax impact on carbon emissions using system dynamics modeling and STIRPAT model. Geography and Sustainability, 5(4), 100-112. https://doi.org/10.1016/j.geosus.2024.07.003</w:t>
      </w:r>
    </w:p>
    <w:p>
      <w:pPr>
        <w:ind w:left="1" w:hanging="1"/>
      </w:pPr>
      <w:r>
        <w:t>Saboori, B., Sulaiman, J., &amp; Mohd, S. (2012). Economic growth and CO2 emissions in Malaysia: A cointegration analysis of the Environmental Kuznets Curve. Energy Policy, 51, 184–191. https://doi.org/10.1016/j.enpol.2012.08.065</w:t>
      </w:r>
    </w:p>
    <w:p>
      <w:pPr>
        <w:ind w:left="1" w:hanging="1"/>
      </w:pPr>
      <w:r>
        <w:t>Sadorsky, P. (2009). Renewable energy consumption and income in emerging economies. Energy Policy, 37(10), 4021–4028. https://doi.org/10.1016/j.enpol.2009.05.003</w:t>
      </w:r>
    </w:p>
    <w:p>
      <w:pPr>
        <w:ind w:left="1" w:hanging="1"/>
      </w:pPr>
      <w:r>
        <w:t>Sari, V. A., Lioe, J. J., &amp; Sarbana, V. H. R. (2025). Beyond carbon mechanisms: The role of energy service companies in strengthening energy transition policies and mitigating emissions. Journal of Innovation Materials, Energy, and Sustainable Engineering, 3(1), 75-90. https://doi.org/10.61511/jimese.v3i1.2025.217</w:t>
      </w:r>
    </w:p>
    <w:p>
      <w:pPr>
        <w:ind w:left="1" w:hanging="1"/>
      </w:pPr>
      <w:r>
        <w:t>Setyawan, D. (2020). Energy and climate policies in Indonesia: Towards low-carbon development. International Institute for Applied Systems Analysis, WP-20-001.</w:t>
      </w:r>
    </w:p>
    <w:p>
      <w:pPr>
        <w:ind w:left="1" w:hanging="1"/>
      </w:pPr>
      <w:r>
        <w:t>Shahbaz, M., Lean, H. H., &amp; Farooq, A. (2013). Natural gas consumption and economic growth in Pakistan. Renewable and Sustainable Energy Reviews, 18, 87-94. https://doi.org/10.1016/j.rser.2012.10.002</w:t>
      </w:r>
    </w:p>
    <w:p>
      <w:pPr>
        <w:ind w:left="1" w:hanging="1"/>
      </w:pPr>
      <w:r>
        <w:t>Sorrell, S. (2009). Jevons' Paradox revisited: The evidence for backfire from improved energy efficiency. Energy Policy, 37(4), 1456–1469. https://doi.org/10.1016/j.enpol.2008.12.003</w:t>
      </w:r>
    </w:p>
    <w:p>
      <w:pPr>
        <w:ind w:left="1" w:hanging="1"/>
      </w:pPr>
      <w:r>
        <w:t>Sudarmaji, E., Achsani, N. A., Arkeman, Y., &amp; Fahmi, I. (2021). Can energy intensity impede the CO2 emissions in Indonesia? LMDI-Decomposition Index and ARDL: Comparison between Indonesia and ASEAN countries. International Journal of Energy Economics and Policy, 11(3), 308-318. https://doi.org/10.32479/ijeep.11029</w:t>
      </w:r>
    </w:p>
    <w:p>
      <w:pPr>
        <w:ind w:left="1" w:hanging="1"/>
      </w:pPr>
      <w:r>
        <w:t>TruCarbon. (2025). Perpres 110/2025: A Game Changer for Indonesia's Economic Carbon Value (Nilai Ekonomi Karbon). TruCarbon Insights. Retrieved from https://www.trucarbon.co/perpres-110-2025-a-game-changer-for-indonesias-carbon-pricing-nilai-ekonomi-karbon</w:t>
      </w:r>
    </w:p>
    <w:p>
      <w:pPr>
        <w:ind w:left="1" w:hanging="1"/>
      </w:pPr>
      <w:r>
        <w:t>West, T. A., Börner, J., Sills, E. O., &amp; Kontoleon, A. (2023). Action needed to make carbon offsets from forest conservation work for climate change mitigation. Science, 381(6660), 873–877. https://doi.org/10.1126/science.ade3535</w:t>
      </w:r>
    </w:p>
    <w:p>
      <w:pPr>
        <w:ind w:left="1" w:hanging="1"/>
      </w:pPr>
      <w:r>
        <w:t>Xu, P., &amp; Chan, E. H. W. (2013). Application of energy performance contracting in China: A critical review. Energy Policy, 57, 1-10. https://doi.org/10.1016/j.enpol.2013.05.073</w:t>
      </w:r>
    </w:p>
    <w:p>
      <w:pPr>
        <w:ind w:left="1" w:hanging="1"/>
      </w:pPr>
      <w:r>
        <w:t>Şanlı, D., Muratoğlu, Y., Songur, M., &amp; Uğurlu, E. (2023). The asymmetric effect of renewable and non-renewable energy on carbon emissions in OECD: new evidence from non-linear panel ARDL model. Frontiers in Environmental Science, 11, 1228296. https://doi.org/10.3389/fenvs.2023.1228296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