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07CED7B1" w:rsidR="00335A17" w:rsidRPr="00C2682D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C2682D">
        <w:rPr>
          <w:rFonts w:ascii="Times New Roman" w:hAnsi="Times New Roman"/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1EC50C45" w14:textId="36021BA8" w:rsidR="00335A17" w:rsidRPr="002228FD" w:rsidRDefault="00C2682D" w:rsidP="00C2682D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2682D">
        <w:rPr>
          <w:rFonts w:ascii="Times New Roman" w:hAnsi="Times New Roman"/>
          <w:b/>
          <w:sz w:val="28"/>
          <w:szCs w:val="10"/>
        </w:rPr>
        <w:t>СООТВЕТСТВИЕ ЗРЕЛОСТИ СИСТЕМЫ ОБРАБОТКИ ИНФОРМАЦИИ ОРГАНИЗАЦИОННОЙ ЗРЕЛОСТИ КОМПАНИИ</w:t>
      </w: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48FECA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4E624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10CF0B6C" w:rsidR="00335A17" w:rsidRPr="008D42DE" w:rsidRDefault="008D42DE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7243038"/>
      <w:r>
        <w:rPr>
          <w:rFonts w:ascii="Times New Roman" w:hAnsi="Times New Roman" w:cs="Times New Roman"/>
          <w:sz w:val="28"/>
          <w:szCs w:val="28"/>
        </w:rPr>
        <w:t xml:space="preserve">Оценить </w:t>
      </w:r>
      <w:r w:rsidR="00DF3797">
        <w:rPr>
          <w:rFonts w:ascii="Times New Roman" w:hAnsi="Times New Roman" w:cs="Times New Roman"/>
          <w:sz w:val="28"/>
          <w:szCs w:val="28"/>
        </w:rPr>
        <w:t>соответствие зрелости системы обработки информации организационной зрелости компании</w:t>
      </w:r>
      <w:r w:rsidR="004760F0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4F52DE78" w14:textId="2FCD0EF1" w:rsidR="00744E09" w:rsidRDefault="00335A17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46E16B8" w14:textId="003CF6AB" w:rsidR="00C2682D" w:rsidRDefault="00620C7F" w:rsidP="00C268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лабораторной работы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88"/>
        <w:gridCol w:w="2473"/>
        <w:gridCol w:w="1720"/>
        <w:gridCol w:w="2164"/>
      </w:tblGrid>
      <w:tr w:rsidR="00620C7F" w:rsidRPr="00620C7F" w14:paraId="710EAF2D" w14:textId="77777777" w:rsidTr="00620C7F">
        <w:tc>
          <w:tcPr>
            <w:tcW w:w="0" w:type="auto"/>
            <w:hideMark/>
          </w:tcPr>
          <w:p w14:paraId="7CEAE1CF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hideMark/>
          </w:tcPr>
          <w:p w14:paraId="59E5C480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Стадия зрелости (модель)</w:t>
            </w:r>
          </w:p>
        </w:tc>
        <w:tc>
          <w:tcPr>
            <w:tcW w:w="0" w:type="auto"/>
            <w:hideMark/>
          </w:tcPr>
          <w:p w14:paraId="5EB0378B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Расчётное значение (τ / η)</w:t>
            </w:r>
          </w:p>
        </w:tc>
        <w:tc>
          <w:tcPr>
            <w:tcW w:w="0" w:type="auto"/>
            <w:hideMark/>
          </w:tcPr>
          <w:p w14:paraId="294FAF8E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Диапазон стадии</w:t>
            </w:r>
          </w:p>
        </w:tc>
      </w:tr>
      <w:tr w:rsidR="00620C7F" w:rsidRPr="00620C7F" w14:paraId="5798BE8A" w14:textId="77777777" w:rsidTr="00620C7F">
        <w:tc>
          <w:tcPr>
            <w:tcW w:w="0" w:type="auto"/>
            <w:hideMark/>
          </w:tcPr>
          <w:p w14:paraId="5B635452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Организационная зрелость</w:t>
            </w:r>
          </w:p>
        </w:tc>
        <w:tc>
          <w:tcPr>
            <w:tcW w:w="0" w:type="auto"/>
            <w:hideMark/>
          </w:tcPr>
          <w:p w14:paraId="0CA6BB1D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SEI/Университет Карнеги-Меллона</w:t>
            </w:r>
          </w:p>
        </w:tc>
        <w:tc>
          <w:tcPr>
            <w:tcW w:w="0" w:type="auto"/>
            <w:hideMark/>
          </w:tcPr>
          <w:p w14:paraId="7364FB88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τ ≈ 1,193</w:t>
            </w:r>
          </w:p>
        </w:tc>
        <w:tc>
          <w:tcPr>
            <w:tcW w:w="0" w:type="auto"/>
            <w:hideMark/>
          </w:tcPr>
          <w:p w14:paraId="041292DC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Стадия 4 (с элементами 5)</w:t>
            </w:r>
          </w:p>
        </w:tc>
      </w:tr>
      <w:tr w:rsidR="00620C7F" w:rsidRPr="00620C7F" w14:paraId="4D02AF05" w14:textId="77777777" w:rsidTr="00620C7F">
        <w:tc>
          <w:tcPr>
            <w:tcW w:w="0" w:type="auto"/>
            <w:hideMark/>
          </w:tcPr>
          <w:p w14:paraId="19D28BF4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Зрелость системы обработки информации (СОИ)</w:t>
            </w:r>
          </w:p>
        </w:tc>
        <w:tc>
          <w:tcPr>
            <w:tcW w:w="0" w:type="auto"/>
            <w:hideMark/>
          </w:tcPr>
          <w:p w14:paraId="3D4FBE9F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Нолан</w:t>
            </w:r>
          </w:p>
        </w:tc>
        <w:tc>
          <w:tcPr>
            <w:tcW w:w="0" w:type="auto"/>
            <w:hideMark/>
          </w:tcPr>
          <w:p w14:paraId="3750AF55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η ≈ 1,071</w:t>
            </w:r>
          </w:p>
        </w:tc>
        <w:tc>
          <w:tcPr>
            <w:tcW w:w="0" w:type="auto"/>
            <w:hideMark/>
          </w:tcPr>
          <w:p w14:paraId="2D6313FD" w14:textId="77777777" w:rsidR="00620C7F" w:rsidRPr="00620C7F" w:rsidRDefault="00620C7F" w:rsidP="00620C7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Стадия 4 («Интеграция»)</w:t>
            </w:r>
          </w:p>
        </w:tc>
      </w:tr>
    </w:tbl>
    <w:p w14:paraId="3DCFBC3D" w14:textId="18351B9F" w:rsidR="00620C7F" w:rsidRDefault="00620C7F" w:rsidP="00C268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717269" w14:textId="39759D9B" w:rsidR="00620C7F" w:rsidRDefault="00620C7F" w:rsidP="00C268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Оценка соответствия по рекомендуемой схеме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3DBD76" w14:textId="77777777" w:rsidR="00620C7F" w:rsidRPr="00620C7F" w:rsidRDefault="00620C7F" w:rsidP="00620C7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Фактическое соответствие:</w:t>
      </w:r>
    </w:p>
    <w:p w14:paraId="289A1DED" w14:textId="77777777" w:rsidR="00620C7F" w:rsidRPr="00620C7F" w:rsidRDefault="00620C7F" w:rsidP="00620C7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Организационная зрелость: стадия 4</w:t>
      </w:r>
    </w:p>
    <w:p w14:paraId="3B7AE092" w14:textId="77777777" w:rsidR="00620C7F" w:rsidRPr="00620C7F" w:rsidRDefault="00620C7F" w:rsidP="00620C7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Фактическая зрелость СОИ: стадия 4</w:t>
      </w:r>
    </w:p>
    <w:p w14:paraId="702C210B" w14:textId="46B8A1CE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C7F">
        <w:rPr>
          <w:rFonts w:ascii="Times New Roman" w:hAnsi="Times New Roman" w:cs="Times New Roman"/>
          <w:sz w:val="28"/>
          <w:szCs w:val="28"/>
        </w:rPr>
        <w:t>СОИ отстаёт на одну стадию от рекомендованного уровня.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C7F">
        <w:rPr>
          <w:rFonts w:ascii="Times New Roman" w:hAnsi="Times New Roman" w:cs="Times New Roman"/>
          <w:sz w:val="28"/>
          <w:szCs w:val="28"/>
        </w:rPr>
        <w:t>стадии 4 организационной зрелости оптимальны стадии 5 или 6 зрелости ИТ,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C7F">
        <w:rPr>
          <w:rFonts w:ascii="Times New Roman" w:hAnsi="Times New Roman" w:cs="Times New Roman"/>
          <w:sz w:val="28"/>
          <w:szCs w:val="28"/>
        </w:rPr>
        <w:t>что обеспечивает поддержку стратегического планирования,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C7F">
        <w:rPr>
          <w:rFonts w:ascii="Times New Roman" w:hAnsi="Times New Roman" w:cs="Times New Roman"/>
          <w:sz w:val="28"/>
          <w:szCs w:val="28"/>
        </w:rPr>
        <w:t>данными и сквозной аналитики.</w:t>
      </w:r>
    </w:p>
    <w:p w14:paraId="34243095" w14:textId="77777777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1DC3B" w14:textId="24424A25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Определение направлений развития ИТ (сравнение текущих и целевых значений критериев)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8"/>
        <w:gridCol w:w="2683"/>
        <w:gridCol w:w="1650"/>
        <w:gridCol w:w="1599"/>
        <w:gridCol w:w="885"/>
      </w:tblGrid>
      <w:tr w:rsidR="00620C7F" w:rsidRPr="00620C7F" w14:paraId="6E2F8B13" w14:textId="77777777" w:rsidTr="00620C7F">
        <w:tc>
          <w:tcPr>
            <w:tcW w:w="0" w:type="auto"/>
            <w:hideMark/>
          </w:tcPr>
          <w:p w14:paraId="7F06C194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413D39CD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Критерий (вес)</w:t>
            </w:r>
          </w:p>
        </w:tc>
        <w:tc>
          <w:tcPr>
            <w:tcW w:w="0" w:type="auto"/>
            <w:hideMark/>
          </w:tcPr>
          <w:p w14:paraId="64DF3F84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Текущая оценка (стадия 4)</w:t>
            </w:r>
          </w:p>
        </w:tc>
        <w:tc>
          <w:tcPr>
            <w:tcW w:w="0" w:type="auto"/>
            <w:hideMark/>
          </w:tcPr>
          <w:p w14:paraId="6394A72F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Целевая оценка (стадия 5)</w:t>
            </w:r>
          </w:p>
        </w:tc>
        <w:tc>
          <w:tcPr>
            <w:tcW w:w="0" w:type="auto"/>
            <w:hideMark/>
          </w:tcPr>
          <w:p w14:paraId="58DE960E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Разрыв</w:t>
            </w:r>
          </w:p>
        </w:tc>
      </w:tr>
      <w:tr w:rsidR="00620C7F" w:rsidRPr="00620C7F" w14:paraId="53416CAA" w14:textId="77777777" w:rsidTr="00620C7F">
        <w:tc>
          <w:tcPr>
            <w:tcW w:w="0" w:type="auto"/>
            <w:hideMark/>
          </w:tcPr>
          <w:p w14:paraId="30F738A3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lastRenderedPageBreak/>
              <w:t>Группа 1. Эффективность отдела ОИ</w:t>
            </w:r>
          </w:p>
        </w:tc>
        <w:tc>
          <w:tcPr>
            <w:tcW w:w="0" w:type="auto"/>
            <w:hideMark/>
          </w:tcPr>
          <w:p w14:paraId="17448BE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Производительность систем (0,30)</w:t>
            </w:r>
          </w:p>
        </w:tc>
        <w:tc>
          <w:tcPr>
            <w:tcW w:w="0" w:type="auto"/>
            <w:hideMark/>
          </w:tcPr>
          <w:p w14:paraId="3BB6CEDE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6F2AE0DB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0,7–1,0</w:t>
            </w:r>
          </w:p>
        </w:tc>
        <w:tc>
          <w:tcPr>
            <w:tcW w:w="0" w:type="auto"/>
            <w:hideMark/>
          </w:tcPr>
          <w:p w14:paraId="5B0112F7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0,2–0,5</w:t>
            </w:r>
          </w:p>
        </w:tc>
      </w:tr>
      <w:tr w:rsidR="00620C7F" w:rsidRPr="00620C7F" w14:paraId="49B9D002" w14:textId="77777777" w:rsidTr="00620C7F">
        <w:tc>
          <w:tcPr>
            <w:tcW w:w="0" w:type="auto"/>
            <w:hideMark/>
          </w:tcPr>
          <w:p w14:paraId="0FF294EC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Группа 2. Роль ИТ для пользователей</w:t>
            </w:r>
          </w:p>
        </w:tc>
        <w:tc>
          <w:tcPr>
            <w:tcW w:w="0" w:type="auto"/>
            <w:hideMark/>
          </w:tcPr>
          <w:p w14:paraId="6847C912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Ценность данных и знаний (0,30)</w:t>
            </w:r>
          </w:p>
        </w:tc>
        <w:tc>
          <w:tcPr>
            <w:tcW w:w="0" w:type="auto"/>
            <w:hideMark/>
          </w:tcPr>
          <w:p w14:paraId="24F99F3E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175ECFFD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0,8–1,0</w:t>
            </w:r>
          </w:p>
        </w:tc>
        <w:tc>
          <w:tcPr>
            <w:tcW w:w="0" w:type="auto"/>
            <w:hideMark/>
          </w:tcPr>
          <w:p w14:paraId="2B5DD4CF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0,3–0,5</w:t>
            </w:r>
          </w:p>
        </w:tc>
      </w:tr>
      <w:tr w:rsidR="00620C7F" w:rsidRPr="00620C7F" w14:paraId="3859FD32" w14:textId="77777777" w:rsidTr="00620C7F">
        <w:tc>
          <w:tcPr>
            <w:tcW w:w="0" w:type="auto"/>
            <w:hideMark/>
          </w:tcPr>
          <w:p w14:paraId="786DA926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Группа 3. Планирование и контроль ОИ</w:t>
            </w:r>
          </w:p>
        </w:tc>
        <w:tc>
          <w:tcPr>
            <w:tcW w:w="0" w:type="auto"/>
            <w:hideMark/>
          </w:tcPr>
          <w:p w14:paraId="21FF218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Инновационная деятельность (0,20)</w:t>
            </w:r>
          </w:p>
        </w:tc>
        <w:tc>
          <w:tcPr>
            <w:tcW w:w="0" w:type="auto"/>
            <w:hideMark/>
          </w:tcPr>
          <w:p w14:paraId="53B4E75E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  <w:hideMark/>
          </w:tcPr>
          <w:p w14:paraId="5E1CE002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0,7–1,0</w:t>
            </w:r>
          </w:p>
        </w:tc>
        <w:tc>
          <w:tcPr>
            <w:tcW w:w="0" w:type="auto"/>
            <w:hideMark/>
          </w:tcPr>
          <w:p w14:paraId="14CA84EC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0,3–0,6</w:t>
            </w:r>
          </w:p>
        </w:tc>
      </w:tr>
      <w:tr w:rsidR="00620C7F" w:rsidRPr="00620C7F" w14:paraId="22D3BA66" w14:textId="77777777" w:rsidTr="00620C7F">
        <w:tc>
          <w:tcPr>
            <w:tcW w:w="0" w:type="auto"/>
            <w:hideMark/>
          </w:tcPr>
          <w:p w14:paraId="6F53282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Группа 3. Планирование и контроль ОИ</w:t>
            </w:r>
          </w:p>
        </w:tc>
        <w:tc>
          <w:tcPr>
            <w:tcW w:w="0" w:type="auto"/>
            <w:hideMark/>
          </w:tcPr>
          <w:p w14:paraId="64373FF8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Стандартизация (0,30)</w:t>
            </w:r>
          </w:p>
        </w:tc>
        <w:tc>
          <w:tcPr>
            <w:tcW w:w="0" w:type="auto"/>
            <w:hideMark/>
          </w:tcPr>
          <w:p w14:paraId="369E001C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6677050A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0,7–1,0</w:t>
            </w:r>
          </w:p>
        </w:tc>
        <w:tc>
          <w:tcPr>
            <w:tcW w:w="0" w:type="auto"/>
            <w:hideMark/>
          </w:tcPr>
          <w:p w14:paraId="7F094CC9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0,2–0,5</w:t>
            </w:r>
          </w:p>
        </w:tc>
      </w:tr>
    </w:tbl>
    <w:p w14:paraId="1E232245" w14:textId="2176F368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80B05" w14:textId="77777777" w:rsidR="00620C7F" w:rsidRP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Ключевые направления развития:</w:t>
      </w:r>
    </w:p>
    <w:p w14:paraId="123BA8FE" w14:textId="77777777" w:rsidR="00620C7F" w:rsidRPr="00620C7F" w:rsidRDefault="00620C7F" w:rsidP="00620C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Повышение производительности систем (мониторинг, оптимизация инфраструктуры).</w:t>
      </w:r>
    </w:p>
    <w:p w14:paraId="15CEDA83" w14:textId="77777777" w:rsidR="00620C7F" w:rsidRPr="00620C7F" w:rsidRDefault="00620C7F" w:rsidP="00620C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Управление данными как корпоративным активом (Data Governance, аналитика).</w:t>
      </w:r>
    </w:p>
    <w:p w14:paraId="3BA19CF2" w14:textId="77777777" w:rsidR="00620C7F" w:rsidRPr="00620C7F" w:rsidRDefault="00620C7F" w:rsidP="00620C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Формализация инновационных процессов в ИТ (управление ИТ-проектами, R&amp;D).</w:t>
      </w:r>
    </w:p>
    <w:p w14:paraId="420EC316" w14:textId="77777777" w:rsidR="00620C7F" w:rsidRPr="00620C7F" w:rsidRDefault="00620C7F" w:rsidP="00620C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Углубление стандартизации технологических процессов и архитектуры.</w:t>
      </w:r>
    </w:p>
    <w:p w14:paraId="6B648FF4" w14:textId="356986A2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ED2BD" w14:textId="30872119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План мероприятий развития ИТ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4"/>
        <w:gridCol w:w="3331"/>
        <w:gridCol w:w="1826"/>
        <w:gridCol w:w="1954"/>
      </w:tblGrid>
      <w:tr w:rsidR="00620C7F" w:rsidRPr="00620C7F" w14:paraId="130F705C" w14:textId="77777777" w:rsidTr="00620C7F">
        <w:tc>
          <w:tcPr>
            <w:tcW w:w="0" w:type="auto"/>
            <w:hideMark/>
          </w:tcPr>
          <w:p w14:paraId="1C4020DF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Критерии улучшения СОИ</w:t>
            </w:r>
          </w:p>
        </w:tc>
        <w:tc>
          <w:tcPr>
            <w:tcW w:w="0" w:type="auto"/>
            <w:hideMark/>
          </w:tcPr>
          <w:p w14:paraId="6339D1D1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Мероприятия по выполнению</w:t>
            </w:r>
          </w:p>
        </w:tc>
        <w:tc>
          <w:tcPr>
            <w:tcW w:w="0" w:type="auto"/>
            <w:hideMark/>
          </w:tcPr>
          <w:p w14:paraId="3C3331B7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Ответственные</w:t>
            </w:r>
          </w:p>
        </w:tc>
        <w:tc>
          <w:tcPr>
            <w:tcW w:w="0" w:type="auto"/>
            <w:hideMark/>
          </w:tcPr>
          <w:p w14:paraId="13071DD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Сроки выполнения</w:t>
            </w:r>
          </w:p>
        </w:tc>
      </w:tr>
      <w:tr w:rsidR="00620C7F" w:rsidRPr="00620C7F" w14:paraId="7829A0E0" w14:textId="77777777" w:rsidTr="00620C7F">
        <w:tc>
          <w:tcPr>
            <w:tcW w:w="0" w:type="auto"/>
            <w:hideMark/>
          </w:tcPr>
          <w:p w14:paraId="52562AF3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Производительность систем</w:t>
            </w:r>
          </w:p>
        </w:tc>
        <w:tc>
          <w:tcPr>
            <w:tcW w:w="0" w:type="auto"/>
            <w:hideMark/>
          </w:tcPr>
          <w:p w14:paraId="4EBA8897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Внедрение системы мониторинга инфраструктуры (Zabbix/Prometheus), оптимизация баз данных, нагрузочное тестирование ключевых систем</w:t>
            </w:r>
          </w:p>
        </w:tc>
        <w:tc>
          <w:tcPr>
            <w:tcW w:w="0" w:type="auto"/>
            <w:hideMark/>
          </w:tcPr>
          <w:p w14:paraId="6516DA4D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Начальник отдела ИТ, DevOps-инженер</w:t>
            </w:r>
          </w:p>
        </w:tc>
        <w:tc>
          <w:tcPr>
            <w:tcW w:w="0" w:type="auto"/>
            <w:hideMark/>
          </w:tcPr>
          <w:p w14:paraId="38C1A6D2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3–6 месяцев</w:t>
            </w:r>
          </w:p>
        </w:tc>
      </w:tr>
      <w:tr w:rsidR="00620C7F" w:rsidRPr="00620C7F" w14:paraId="27307683" w14:textId="77777777" w:rsidTr="00620C7F">
        <w:tc>
          <w:tcPr>
            <w:tcW w:w="0" w:type="auto"/>
            <w:hideMark/>
          </w:tcPr>
          <w:p w14:paraId="700DA25D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lastRenderedPageBreak/>
              <w:t>Ценность данных и знаний</w:t>
            </w:r>
          </w:p>
        </w:tc>
        <w:tc>
          <w:tcPr>
            <w:tcW w:w="0" w:type="auto"/>
            <w:hideMark/>
          </w:tcPr>
          <w:p w14:paraId="561AC6B1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Разработка и внедрение политики Data Governance, создание единого аналитического хранилища (Data Lake), обучение сотрудников работе с BI-инструментами (Power BI, Tableau)</w:t>
            </w:r>
          </w:p>
        </w:tc>
        <w:tc>
          <w:tcPr>
            <w:tcW w:w="0" w:type="auto"/>
            <w:hideMark/>
          </w:tcPr>
          <w:p w14:paraId="5C454659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20C7F">
              <w:rPr>
                <w:rFonts w:ascii="Times New Roman" w:hAnsi="Times New Roman" w:cs="Times New Roman"/>
                <w:lang w:val="en-US"/>
              </w:rPr>
              <w:t xml:space="preserve">CDO (Chief Data Officer), </w:t>
            </w:r>
            <w:r w:rsidRPr="00620C7F">
              <w:rPr>
                <w:rFonts w:ascii="Times New Roman" w:hAnsi="Times New Roman" w:cs="Times New Roman"/>
              </w:rPr>
              <w:t>аналитики</w:t>
            </w:r>
          </w:p>
        </w:tc>
        <w:tc>
          <w:tcPr>
            <w:tcW w:w="0" w:type="auto"/>
            <w:hideMark/>
          </w:tcPr>
          <w:p w14:paraId="68A89A33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6–12 месяцев</w:t>
            </w:r>
          </w:p>
        </w:tc>
      </w:tr>
      <w:tr w:rsidR="00620C7F" w:rsidRPr="00620C7F" w14:paraId="265E725C" w14:textId="77777777" w:rsidTr="00620C7F">
        <w:tc>
          <w:tcPr>
            <w:tcW w:w="0" w:type="auto"/>
            <w:hideMark/>
          </w:tcPr>
          <w:p w14:paraId="093F4D38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Инновационная деятельность</w:t>
            </w:r>
          </w:p>
        </w:tc>
        <w:tc>
          <w:tcPr>
            <w:tcW w:w="0" w:type="auto"/>
            <w:hideMark/>
          </w:tcPr>
          <w:p w14:paraId="5C8217B6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Создание ИТ-лаборатории для тестирования новых технологий (AI, RPA), внедрение системы управления ИТ-проектами (Jira Advanced, Asana), проведение хакатонов по инновациям</w:t>
            </w:r>
          </w:p>
        </w:tc>
        <w:tc>
          <w:tcPr>
            <w:tcW w:w="0" w:type="auto"/>
            <w:hideMark/>
          </w:tcPr>
          <w:p w14:paraId="05D48E11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Директор по развитию, Product Owner</w:t>
            </w:r>
          </w:p>
        </w:tc>
        <w:tc>
          <w:tcPr>
            <w:tcW w:w="0" w:type="auto"/>
            <w:hideMark/>
          </w:tcPr>
          <w:p w14:paraId="465AD9B3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Постоянно, с ежеквартальным отчётом</w:t>
            </w:r>
          </w:p>
        </w:tc>
      </w:tr>
      <w:tr w:rsidR="00620C7F" w:rsidRPr="00620C7F" w14:paraId="626D1DE5" w14:textId="77777777" w:rsidTr="00620C7F">
        <w:tc>
          <w:tcPr>
            <w:tcW w:w="0" w:type="auto"/>
            <w:hideMark/>
          </w:tcPr>
          <w:p w14:paraId="1055EE18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Стандартизация процессов</w:t>
            </w:r>
          </w:p>
        </w:tc>
        <w:tc>
          <w:tcPr>
            <w:tcW w:w="0" w:type="auto"/>
            <w:hideMark/>
          </w:tcPr>
          <w:p w14:paraId="4B9BCAD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Разработка и утверждение корпоративных стандартов ИТ-архитектуры, внедрение ITSM (ServiceNow, Jira Service Management), аудит соответствия процессов</w:t>
            </w:r>
          </w:p>
        </w:tc>
        <w:tc>
          <w:tcPr>
            <w:tcW w:w="0" w:type="auto"/>
            <w:hideMark/>
          </w:tcPr>
          <w:p w14:paraId="32C05AF7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Руководитель ИТ-службы, архитектор</w:t>
            </w:r>
          </w:p>
        </w:tc>
        <w:tc>
          <w:tcPr>
            <w:tcW w:w="0" w:type="auto"/>
            <w:hideMark/>
          </w:tcPr>
          <w:p w14:paraId="186E8190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4–8 месяцев</w:t>
            </w:r>
          </w:p>
        </w:tc>
      </w:tr>
      <w:tr w:rsidR="00620C7F" w:rsidRPr="00620C7F" w14:paraId="69F7509E" w14:textId="77777777" w:rsidTr="00620C7F">
        <w:tc>
          <w:tcPr>
            <w:tcW w:w="0" w:type="auto"/>
            <w:hideMark/>
          </w:tcPr>
          <w:p w14:paraId="0F20B6F5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Интеграция систем</w:t>
            </w:r>
          </w:p>
        </w:tc>
        <w:tc>
          <w:tcPr>
            <w:tcW w:w="0" w:type="auto"/>
            <w:hideMark/>
          </w:tcPr>
          <w:p w14:paraId="75178388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Доработка интеграции между Jira, Confluence, 1С, HRlink через единый API-шлюз, миграция legacy-систем на микросервисную архитектуру</w:t>
            </w:r>
          </w:p>
        </w:tc>
        <w:tc>
          <w:tcPr>
            <w:tcW w:w="0" w:type="auto"/>
            <w:hideMark/>
          </w:tcPr>
          <w:p w14:paraId="221DF0E5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Системный архитектор, разработчики</w:t>
            </w:r>
          </w:p>
        </w:tc>
        <w:tc>
          <w:tcPr>
            <w:tcW w:w="0" w:type="auto"/>
            <w:hideMark/>
          </w:tcPr>
          <w:p w14:paraId="71AF37A9" w14:textId="77777777" w:rsidR="00620C7F" w:rsidRPr="00620C7F" w:rsidRDefault="00620C7F" w:rsidP="00620C7F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620C7F">
              <w:rPr>
                <w:rFonts w:ascii="Times New Roman" w:hAnsi="Times New Roman" w:cs="Times New Roman"/>
              </w:rPr>
              <w:t>8–12 месяцев</w:t>
            </w:r>
          </w:p>
        </w:tc>
      </w:tr>
    </w:tbl>
    <w:p w14:paraId="4B0D85BC" w14:textId="6E6F01B5" w:rsidR="00620C7F" w:rsidRDefault="00620C7F" w:rsidP="00620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7DD84" w14:textId="77777777" w:rsidR="00620C7F" w:rsidRPr="00620C7F" w:rsidRDefault="00620C7F" w:rsidP="00620C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Текущее состояние: Организационная зрелость компании (стадия 4) опережает зрелость системы обработки информации (стадия 4). СОИ не обеспечивает полной поддержки стратегического управления и анализа данных, требуемых для уровня 4–5 организационной зрелости.</w:t>
      </w:r>
    </w:p>
    <w:p w14:paraId="19B9D477" w14:textId="77777777" w:rsidR="00620C7F" w:rsidRPr="00620C7F" w:rsidRDefault="00620C7F" w:rsidP="00620C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Риск: Отставание ИТ может привести к неэффективному использованию ресурсов, замедлению принятия решений, снижению конкурентного преимущества.</w:t>
      </w:r>
    </w:p>
    <w:p w14:paraId="0918A5F6" w14:textId="77777777" w:rsidR="00620C7F" w:rsidRPr="00620C7F" w:rsidRDefault="00620C7F" w:rsidP="00620C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11A381D9" w14:textId="77777777" w:rsidR="00620C7F" w:rsidRPr="00620C7F" w:rsidRDefault="00620C7F" w:rsidP="00620C7F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lastRenderedPageBreak/>
        <w:t>Перевести СОИ с стадии 4 на стадию 5 в течение 12–18 месяцев.</w:t>
      </w:r>
    </w:p>
    <w:p w14:paraId="48B90D24" w14:textId="77777777" w:rsidR="00620C7F" w:rsidRPr="00620C7F" w:rsidRDefault="00620C7F" w:rsidP="00620C7F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Сфокусироваться на управлении данными, стандартизации и инновациях в ИТ.</w:t>
      </w:r>
    </w:p>
    <w:p w14:paraId="7E39F777" w14:textId="77777777" w:rsidR="00620C7F" w:rsidRPr="00620C7F" w:rsidRDefault="00620C7F" w:rsidP="00620C7F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Реализовать план мероприятий с контролем сроков и ответственных.</w:t>
      </w:r>
    </w:p>
    <w:p w14:paraId="33A1734B" w14:textId="5CD5B830" w:rsidR="00620C7F" w:rsidRPr="00620C7F" w:rsidRDefault="00620C7F" w:rsidP="00620C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C7F">
        <w:rPr>
          <w:rFonts w:ascii="Times New Roman" w:hAnsi="Times New Roman" w:cs="Times New Roman"/>
          <w:sz w:val="28"/>
          <w:szCs w:val="28"/>
        </w:rPr>
        <w:t>Ожидаемый эффект: Повышение скорости обработки информации, улучшение аналитической поддержки решений, рост эффективности ИТ-инфраструктуры, соответствие ИТ-стратегии бизнес-целям компании.</w:t>
      </w:r>
    </w:p>
    <w:p w14:paraId="249CCA4E" w14:textId="6C93FD6C" w:rsidR="00DB4F58" w:rsidRDefault="006E46D0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FDDF186" w14:textId="00D70325" w:rsidR="008D42DE" w:rsidRPr="008D42DE" w:rsidRDefault="006E46D0" w:rsidP="008D4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5C514F">
        <w:rPr>
          <w:rFonts w:ascii="Times New Roman" w:hAnsi="Times New Roman" w:cs="Times New Roman"/>
          <w:sz w:val="28"/>
          <w:szCs w:val="28"/>
        </w:rPr>
        <w:t>а проведена оценка</w:t>
      </w:r>
      <w:r w:rsidR="008D42DE">
        <w:rPr>
          <w:rFonts w:ascii="Times New Roman" w:hAnsi="Times New Roman" w:cs="Times New Roman"/>
          <w:sz w:val="28"/>
          <w:szCs w:val="28"/>
        </w:rPr>
        <w:t xml:space="preserve"> </w:t>
      </w:r>
      <w:r w:rsidR="004760F0">
        <w:rPr>
          <w:rFonts w:ascii="Times New Roman" w:hAnsi="Times New Roman" w:cs="Times New Roman"/>
          <w:sz w:val="28"/>
          <w:szCs w:val="28"/>
        </w:rPr>
        <w:t>соответстви</w:t>
      </w:r>
      <w:r w:rsidR="004760F0">
        <w:rPr>
          <w:rFonts w:ascii="Times New Roman" w:hAnsi="Times New Roman" w:cs="Times New Roman"/>
          <w:sz w:val="28"/>
          <w:szCs w:val="28"/>
        </w:rPr>
        <w:t>я</w:t>
      </w:r>
      <w:r w:rsidR="004760F0">
        <w:rPr>
          <w:rFonts w:ascii="Times New Roman" w:hAnsi="Times New Roman" w:cs="Times New Roman"/>
          <w:sz w:val="28"/>
          <w:szCs w:val="28"/>
        </w:rPr>
        <w:t xml:space="preserve"> зрелости системы обработки информации организационной зрелости компании.</w:t>
      </w:r>
    </w:p>
    <w:p w14:paraId="62D5768E" w14:textId="0087AC27" w:rsidR="006E46D0" w:rsidRPr="006E46D0" w:rsidRDefault="006E46D0" w:rsidP="004E62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739C4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E39CF"/>
    <w:multiLevelType w:val="multilevel"/>
    <w:tmpl w:val="EE2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561B4"/>
    <w:multiLevelType w:val="multilevel"/>
    <w:tmpl w:val="295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56B44"/>
    <w:multiLevelType w:val="multilevel"/>
    <w:tmpl w:val="A904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B86865"/>
    <w:multiLevelType w:val="multilevel"/>
    <w:tmpl w:val="734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61A34"/>
    <w:multiLevelType w:val="multilevel"/>
    <w:tmpl w:val="E9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3"/>
  </w:num>
  <w:num w:numId="5">
    <w:abstractNumId w:val="0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11"/>
  </w:num>
  <w:num w:numId="11">
    <w:abstractNumId w:val="6"/>
  </w:num>
  <w:num w:numId="12">
    <w:abstractNumId w:val="8"/>
  </w:num>
  <w:num w:numId="13">
    <w:abstractNumId w:val="16"/>
  </w:num>
  <w:num w:numId="14">
    <w:abstractNumId w:val="12"/>
  </w:num>
  <w:num w:numId="15">
    <w:abstractNumId w:val="15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2228FD"/>
    <w:rsid w:val="00335A17"/>
    <w:rsid w:val="0043071A"/>
    <w:rsid w:val="004760F0"/>
    <w:rsid w:val="004E6243"/>
    <w:rsid w:val="005C514F"/>
    <w:rsid w:val="00620C7F"/>
    <w:rsid w:val="00642F4D"/>
    <w:rsid w:val="00653B5C"/>
    <w:rsid w:val="006B3CEB"/>
    <w:rsid w:val="006E46D0"/>
    <w:rsid w:val="00744E09"/>
    <w:rsid w:val="007915E4"/>
    <w:rsid w:val="007D0DA1"/>
    <w:rsid w:val="0087668C"/>
    <w:rsid w:val="008C162F"/>
    <w:rsid w:val="008D42DE"/>
    <w:rsid w:val="008F6497"/>
    <w:rsid w:val="00903401"/>
    <w:rsid w:val="00925DCA"/>
    <w:rsid w:val="009603EA"/>
    <w:rsid w:val="00986F70"/>
    <w:rsid w:val="00A12966"/>
    <w:rsid w:val="00AA1C1B"/>
    <w:rsid w:val="00B21C91"/>
    <w:rsid w:val="00B56EB2"/>
    <w:rsid w:val="00B97A2A"/>
    <w:rsid w:val="00BD3532"/>
    <w:rsid w:val="00BF22BB"/>
    <w:rsid w:val="00C2682D"/>
    <w:rsid w:val="00D0540F"/>
    <w:rsid w:val="00DB122D"/>
    <w:rsid w:val="00DB4F58"/>
    <w:rsid w:val="00DC3D03"/>
    <w:rsid w:val="00DF3797"/>
    <w:rsid w:val="00E952FD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5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28</cp:revision>
  <dcterms:created xsi:type="dcterms:W3CDTF">2021-09-07T19:52:00Z</dcterms:created>
  <dcterms:modified xsi:type="dcterms:W3CDTF">2025-12-21T18:16:00Z</dcterms:modified>
</cp:coreProperties>
</file>