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2° ensc Fund anos iniciais</w:t>
      </w:r>
    </w:p>
    <w:p>
      <w:r>
        <w:t>Bimestre: IV</w:t>
      </w:r>
    </w:p>
    <w:p>
      <w:r>
        <w:t>Período: 2024-09-17</w:t>
      </w:r>
    </w:p>
    <w:p>
      <w:r>
        <w:t>a: 2024-09-20</w:t>
      </w:r>
    </w:p>
    <w:p>
      <w:r>
        <w:t>Capítulo: II</w:t>
      </w:r>
    </w:p>
    <w:p>
      <w:r>
        <w:t>Área ou Disciplina: CIÊNCIAS DA NATUREZA 7º ANO</w:t>
      </w:r>
    </w:p>
    <w:p>
      <w:r>
        <w:t>Habilidades: (SESI.EF07CI03.a.02) Identificar as diferentes formas de propagação do calor. (SESI.EF07CI03.s.03) Utilizar o conhecimento das formas de propagação do calor para justificar a utilização de determinados materiais (condutores e isolantes) na vida cotidiana, explicar o princípio de funcionamento de alguns equipamentos (garrafa térmica, coletor solar etc.) e/ou construir soluções tecnológicas a partir desse conhecimento.</w:t>
        <w:br/>
        <w:br/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150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