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snapToGrid w:val="0"/>
        <w:spacing w:before="0" w:after="0" w:line="240"/>
        <w:ind w:left="0" w:right="0"/>
        <w:jc w:val="center"/>
        <w:rPr>
          <w:sz w:val="36"/>
        </w:rPr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42"/>
          <w:u w:val="none"/>
        </w:rPr>
        <w:t>概要设计说明书</w:t>
      </w:r>
    </w:p>
    <w:p>
      <w:pPr>
        <w:snapToGrid w:val="0"/>
        <w:spacing w:before="0" w:after="0" w:line="240"/>
        <w:ind w:left="0" w:right="0" w:firstLine="480" w:firstLineChars="200"/>
        <w:jc w:val="both"/>
        <w:rPr/>
      </w:pPr>
      <w:r>
        <w:rPr>
          <w:rFonts w:ascii="宋体" w:hAnsi="宋体" w:eastAsia="宋体" w:cs="宋体"/>
          <w:i w:val="1"/>
          <w:strike w:val="0"/>
          <w:color w:val="0000FF"/>
          <w:sz w:val="24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32"/>
          <w:u w:val="none"/>
        </w:rPr>
        <w:t>第一组</w:t>
      </w:r>
    </w:p>
    <w:p>
      <w:pPr>
        <w:tabs>
          <w:tab w:val="left" w:pos="432"/>
        </w:tabs>
        <w:snapToGrid w:val="0"/>
        <w:spacing w:before="0" w:after="0" w:line="288"/>
        <w:ind w:left="0"/>
        <w:rPr/>
      </w:pPr>
      <w:bookmarkStart w:id="1" w:name="_Toc261876958"/>
      <w:bookmarkEnd w:id="1"/>
      <w:bookmarkStart w:id="2" w:name="_Toc207791261"/>
      <w:r>
        <w:rPr>
          <w:rFonts w:ascii="微软雅黑" w:hAnsi="微软雅黑" w:eastAsia="微软雅黑" w:cs="微软雅黑"/>
          <w:b w:val="1"/>
          <w:i w:val="1"/>
          <w:strike w:val="0"/>
          <w:color w:val="0000FF"/>
          <w:sz w:val="32"/>
          <w:u w:val="none"/>
        </w:rPr>
        <w:t xml:space="preserve"> </w:t>
      </w:r>
      <w:r>
        <w:rPr>
          <w:rFonts w:ascii="微软雅黑" w:hAnsi="微软雅黑" w:eastAsia="微软雅黑" w:cs="微软雅黑"/>
          <w:b w:val="1"/>
          <w:i w:val="1"/>
          <w:strike w:val="0"/>
          <w:color w:val="0000FF"/>
          <w:sz w:val="32"/>
          <w:u w:val="none"/>
        </w:rPr>
        <w:t> </w:t>
      </w:r>
      <w:bookmarkEnd w:id="2"/>
    </w:p>
    <w:p>
      <w:pPr>
        <w:pStyle w:val="000002"/>
        <w:tabs>
          <w:tab w:val="left" w:pos="432"/>
        </w:tabs>
        <w:snapToGrid w:val="0"/>
        <w:ind w:left="0"/>
        <w:rPr/>
      </w:pPr>
      <w:r>
        <w:rPr>
          <w:rFonts w:ascii="宋体" w:hAnsi="宋体" w:eastAsia="宋体" w:cs="宋体"/>
          <w:sz w:val="36"/>
        </w:rPr>
        <w:t>1 文档概述</w:t>
      </w:r>
    </w:p>
    <w:p>
      <w:pPr>
        <w:pStyle w:val="000003"/>
        <w:tabs>
          <w:tab w:val="left" w:pos="420"/>
        </w:tabs>
        <w:snapToGrid w:val="0"/>
        <w:spacing w:before="0" w:after="0" w:line="360"/>
        <w:ind w:left="576" w:right="0" w:hanging="576"/>
        <w:rPr/>
      </w:pPr>
      <w:bookmarkStart w:id="3" w:name="_Toc261876959"/>
      <w:bookmarkEnd w:id="3"/>
      <w:bookmarkStart w:id="4" w:name="_Toc207791262"/>
      <w:r>
        <w:rPr>
          <w:rFonts w:ascii="宋体" w:hAnsi="宋体" w:eastAsia="宋体" w:cs="宋体"/>
          <w:i w:val="1"/>
          <w:strike w:val="0"/>
          <w:color w:val="0000FF"/>
          <w:sz w:val="32"/>
          <w:u w:val="none"/>
        </w:rPr>
        <w:t>1.1</w:t>
      </w:r>
      <w:bookmarkEnd w:id="4"/>
      <w:r>
        <w:rPr>
          <w:rFonts w:ascii="宋体" w:hAnsi="宋体" w:eastAsia="宋体" w:cs="宋体"/>
          <w:i w:val="0"/>
          <w:strike w:val="0"/>
          <w:color w:val="000000"/>
          <w:sz w:val="32"/>
          <w:u w:val="none"/>
        </w:rPr>
        <w:t xml:space="preserve"> 文档目的和范围</w:t>
      </w:r>
    </w:p>
    <w:p>
      <w:pPr>
        <w:snapToGrid w:val="0"/>
        <w:spacing w:before="0" w:after="0" w:line="360"/>
        <w:ind w:left="0" w:right="0" w:firstLine="420"/>
        <w:rPr/>
      </w:pPr>
      <w:r>
        <w:rPr>
          <w:rFonts w:ascii="宋体" w:hAnsi="宋体" w:eastAsia="宋体" w:cs="宋体"/>
          <w:i w:val="1"/>
          <w:strike w:val="0"/>
          <w:color w:val="0000FF"/>
          <w:sz w:val="24"/>
          <w:u w:val="none"/>
        </w:rPr>
        <w:t> 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本文档为电动汽车充电桩管理平台的概要设计说明书。文档依据《需求矩阵》提出的功能需求与项目冻结的 v1 接口契约，阐述系统总体结构、模块划分、各模块功能定义与模块间接口，回答需求“如何实现”的问题，作为后续详细设计、编码实现与集成联调的设计基线。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设计范围覆盖需求矩阵中的三大分类：充电用户端（NO.1–8）、PC服务器端（NO.9–18）、数据库端（NO.19–21）；其中数据库端由 SQLite 数据资产与 Qt 设备模拟器两部分组成。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本文读者为项目组全体开发与评审人员。界面视觉细节、数据表逐列定义与函数级实现细节不在本文展开，将在详细设计与源代码中给出。</w:t>
      </w:r>
    </w:p>
    <w:p>
      <w:pPr>
        <w:pStyle w:val="000003"/>
        <w:tabs>
          <w:tab w:val="left" w:pos="420"/>
        </w:tabs>
        <w:snapToGrid w:val="0"/>
        <w:spacing w:before="0" w:after="0" w:line="360"/>
        <w:ind w:left="576" w:right="0" w:hanging="576"/>
        <w:rPr/>
      </w:pPr>
      <w:bookmarkStart w:id="5" w:name="_Toc207791263"/>
      <w:bookmarkEnd w:id="5"/>
      <w:bookmarkStart w:id="6" w:name="_Toc261876960"/>
      <w:r>
        <w:rPr>
          <w:rFonts w:ascii="宋体" w:hAnsi="宋体" w:eastAsia="宋体" w:cs="宋体"/>
          <w:i w:val="1"/>
          <w:strike w:val="0"/>
          <w:color w:val="0000FF"/>
          <w:sz w:val="32"/>
          <w:u w:val="none"/>
        </w:rPr>
        <w:t>1.2</w:t>
      </w:r>
      <w:bookmarkEnd w:id="6"/>
      <w:r>
        <w:rPr>
          <w:rFonts w:ascii="宋体" w:hAnsi="宋体" w:eastAsia="宋体" w:cs="宋体"/>
          <w:i w:val="0"/>
          <w:strike w:val="0"/>
          <w:color w:val="000000"/>
          <w:sz w:val="32"/>
          <w:u w:val="none"/>
        </w:rPr>
        <w:t xml:space="preserve"> 术语/缩略语</w:t>
      </w:r>
    </w:p>
    <w:p>
      <w:pPr>
        <w:snapToGrid w:val="0"/>
        <w:spacing w:before="0" w:after="0" w:line="360"/>
        <w:ind w:left="0" w:right="0" w:hanging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tbl>
      <w:tblPr>
        <w:tblStyle w:val="000014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序号</w:t>
            </w:r>
          </w:p>
        </w:tc>
        <w:tc>
          <w:tcPr>
            <w:tcW w:w="27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术语/缩略语</w:t>
            </w:r>
          </w:p>
        </w:tc>
        <w:tc>
          <w:tcPr>
            <w:tcW w:w="276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TCP 帧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 字节大端长度头 + UTF-8 JSON 载荷的线格式，载荷上限 1MiB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Envelope（信封）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请求/响应 JSON 封装：version、requestId、action、token、payload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requestId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幂等键；同一变更请求重放时返回已保存响应，不重复执行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action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冻结的 27 个业务动作名之一（如 charge.reserve）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token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不透明会话令牌；不得写入日志、响应或业务对象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角色（actor）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anonymous / user / admin / simulator / ml 五种调用身份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充电桩状态机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idle→reserved→charging→idle；idle|reserved|charging→fault→restarting→idle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订单状态机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reserved→charging→completed；reserved→cancelled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endedAt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停止计费时间点：charge.stop 写入后订单保持 charging，等待结算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整数分（fen）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全部金额的存储与传输单位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金额公式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amountFen = qRound64(energyKwh × priceFenPerKwh)，仅服务端计算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device-event cursor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每桩遥测/故障共享的持久化时序游标；新事件 recordedAt 必须严格递增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唯一写库者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服务端 DatabaseWorker 是运行期 SQLite 的唯一写入者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串行事务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全部业务写请求在单一数据库线程排队，以事务执行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黄金库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固定种子构建并封存的 SQLite 基准库，附 manifest 与 SHA-256 校验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复位（reset）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从黄金库恢复运行库，使每次演示/彩排从相同受校验数据出发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遥测（telemetry）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模拟器每 3 秒上报的电量增量与功率数据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故障注入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simulator.fault_set 触发充电桩故障状态并与订单联动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腾讯地图 Web API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地址解析（geocoder）与驾车/步行路线规划服务</w:t>
            </w:r>
          </w:p>
        </w:tc>
      </w:tr>
      <w:tr>
        <w:trPr/>
        <w:tc>
          <w:tcPr>
            <w:tcW w:w="27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QWebEngineView</w:t>
            </w:r>
          </w:p>
        </w:tc>
        <w:tc>
          <w:tcPr>
            <w:tcW w:w="276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Qt 内嵌浏览器容器，装载腾讯地图导航页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pStyle w:val="000003"/>
        <w:tabs>
          <w:tab w:val="left" w:pos="420"/>
        </w:tabs>
        <w:snapToGrid w:val="0"/>
        <w:spacing w:before="0" w:after="0" w:line="360"/>
        <w:ind w:left="576" w:right="0" w:hanging="576"/>
        <w:rPr/>
      </w:pPr>
      <w:bookmarkStart w:id="7" w:name="_Toc207791264"/>
      <w:bookmarkEnd w:id="7"/>
      <w:bookmarkStart w:id="8" w:name="_Toc261876961"/>
      <w:r>
        <w:rPr>
          <w:rFonts w:ascii="宋体" w:hAnsi="宋体" w:eastAsia="宋体" w:cs="宋体"/>
          <w:i w:val="1"/>
          <w:strike w:val="0"/>
          <w:color w:val="0000FF"/>
          <w:sz w:val="32"/>
          <w:u w:val="none"/>
        </w:rPr>
        <w:t>1.3</w:t>
      </w:r>
      <w:bookmarkEnd w:id="8"/>
      <w:r>
        <w:rPr>
          <w:rFonts w:ascii="宋体" w:hAnsi="宋体" w:eastAsia="宋体" w:cs="宋体"/>
          <w:i w:val="0"/>
          <w:strike w:val="0"/>
          <w:color w:val="000000"/>
          <w:sz w:val="32"/>
          <w:u w:val="none"/>
        </w:rPr>
        <w:t xml:space="preserve"> 参考文档</w:t>
      </w:r>
    </w:p>
    <w:p>
      <w:pPr>
        <w:tabs>
          <w:tab w:val="left" w:pos="432"/>
        </w:tabs>
        <w:snapToGrid w:val="0"/>
        <w:spacing w:before="0" w:after="0" w:line="288"/>
        <w:ind w:left="0"/>
        <w:rPr/>
      </w:pPr>
      <w:bookmarkStart w:id="9" w:name="_Toc207791265"/>
      <w:r>
        <w:rPr>
          <w:rFonts w:ascii="微软雅黑" w:hAnsi="微软雅黑" w:eastAsia="微软雅黑" w:cs="微软雅黑"/>
          <w:b w:val="1"/>
          <w:i w:val="1"/>
          <w:strike w:val="0"/>
          <w:color w:val="0000FF"/>
          <w:sz w:val="32"/>
          <w:u w:val="none"/>
        </w:rPr>
        <w:t xml:space="preserve"> </w:t>
      </w:r>
      <w:r>
        <w:rPr>
          <w:rFonts w:ascii="微软雅黑" w:hAnsi="微软雅黑" w:eastAsia="微软雅黑" w:cs="微软雅黑"/>
          <w:b w:val="1"/>
          <w:i w:val="1"/>
          <w:strike w:val="0"/>
          <w:color w:val="0000FF"/>
          <w:sz w:val="32"/>
          <w:u w:val="none"/>
        </w:rPr>
        <w:t> </w:t>
      </w:r>
      <w:bookmarkEnd w:id="9"/>
    </w:p>
    <w:tbl>
      <w:tblPr>
        <w:tblStyle w:val="000014"/>
        <w:tblLayout w:type="fixed"/>
      </w:tblPr>
      <w:tblGrid>
        <w:gridCol w:w="2070"/>
        <w:gridCol w:w="2070"/>
        <w:gridCol w:w="2070"/>
        <w:gridCol w:w="2070"/>
      </w:tblGrid>
      <w:tr>
        <w:trPr/>
        <w:tc>
          <w:tcPr>
            <w:tcW w:w="20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序号</w:t>
            </w:r>
          </w:p>
        </w:tc>
        <w:tc>
          <w:tcPr>
            <w:tcW w:w="207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文档名</w:t>
            </w:r>
          </w:p>
        </w:tc>
        <w:tc>
          <w:tcPr>
            <w:tcW w:w="207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时间</w:t>
            </w:r>
          </w:p>
        </w:tc>
        <w:tc>
          <w:tcPr>
            <w:tcW w:w="207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版本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需求矩阵-第1组-王浩恩.xlsx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2026-09-05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当前版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docs/design/interface-contract.md（Foundation v1 冻结接口合同）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2026-09-04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v1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docs/management/scope-baseline.md（范围基线）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2026-09-04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v2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README.md（仓库当前交付口径）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2026-09-04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当前版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docs/design/core-system-architecture.html（核心交付架构）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2026-09-04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当前版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docs/release/core-acceptance-checklist.md（核心验收清单）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2026-09-04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当前版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docs/superpowers/plans/2026-09-04-core-integration-demo-release.md（核心集成计划）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2026-09-04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当前版</w:t>
            </w:r>
          </w:p>
        </w:tc>
      </w:tr>
      <w:tr>
        <w:trPr/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docs/test/user-client-closeout-2026-09-05.md（用户端收尾记录）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2026-09-05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当前版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pStyle w:val="000002"/>
        <w:tabs>
          <w:tab w:val="left" w:pos="432"/>
        </w:tabs>
        <w:snapToGrid w:val="0"/>
        <w:ind w:left="0"/>
        <w:rPr/>
      </w:pPr>
      <w:bookmarkStart w:id="10" w:name="_Toc261876962"/>
      <w:r>
        <w:rPr>
          <w:rFonts w:ascii="宋体" w:hAnsi="宋体" w:eastAsia="宋体" w:cs="宋体"/>
          <w:sz w:val="36"/>
        </w:rPr>
        <w:t>2 系统结构图</w:t>
      </w:r>
      <w:bookmarkEnd w:id="10"/>
    </w:p>
    <w:p>
      <w:pPr>
        <w:snapToGrid w:val="0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系统由三个运行进程与两级 SQLite 数据库组成。Qt 用户端进程面向充电用户，提供登录、查站查桩、腾讯地图导航与充电结算界面；Qt 管理/服务端进程是平台业务中枢，负责 TCP 接入、业务校验、状态机转换、计费统计与管理功能，并且是运行期 SQLite 数据库的唯一写入者；Qt 设备模拟器进程模拟真实充电桩，按固定节奏上报遥测并可注入/解除故障。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SQLite 数据库分两级：黄金库为固定种子构建并封存的基准库（附 manifest 与 SHA-256 校验），运行库为服务端写入的实际业务库；演示与彩排前由黄金库复位生成运行库。用户端与模拟器均以“4 字节大端长度头 + UTF-8 JSON”的 TCP 帧与服务端通信；用户端另与腾讯地图云交互完成地址解析与路线规划。</w:t>
      </w:r>
    </w:p>
    <w:p>
      <w:pPr>
        <w:snapToGrid w:val="0"/>
        <w:spacing w:before="0" w:after="0" w:line="240"/>
        <w:ind w:left="0" w:right="0"/>
        <w:jc w:val="center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bookmarkStart w:id="11" w:name="_Toc207791266"/>
      <w:bookmarkEnd w:id="11"/>
      <w:bookmarkStart w:id="12" w:name="_Toc261876963"/>
      <w:r>
        <w:rPr>
          <w:rFonts w:ascii="宋体" w:hAnsi="宋体" w:eastAsia="宋体" w:cs="宋体"/>
          <w:i w:val="1"/>
          <w:strike w:val="0"/>
          <w:color w:val="0000FF"/>
          <w:sz w:val="22"/>
          <w:u w:val="none"/>
        </w:rPr>
        <w:drawing>
          <wp:inline distT="0" distB="0" distL="0" distR="0">
            <wp:extent cx="5278120" cy="312721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12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图</w:t>
      </w:r>
      <w:bookmarkEnd w:id="12"/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2-1 系统结构图</w:t>
      </w:r>
    </w:p>
    <w:p>
      <w:pPr>
        <w:tabs>
          <w:tab w:val="left" w:pos="432"/>
        </w:tabs>
        <w:snapToGrid w:val="0"/>
        <w:spacing w:before="0" w:after="0" w:line="288"/>
        <w:ind w:left="0"/>
        <w:rPr/>
      </w:pPr>
      <w:bookmarkStart w:id="13" w:name="_Toc261876964"/>
      <w:r>
        <w:rPr>
          <w:rFonts w:ascii="微软雅黑" w:hAnsi="微软雅黑" w:eastAsia="微软雅黑" w:cs="微软雅黑"/>
          <w:b w:val="1"/>
          <w:i w:val="1"/>
          <w:strike w:val="0"/>
          <w:color w:val="0000FF"/>
          <w:sz w:val="32"/>
          <w:u w:val="none"/>
        </w:rPr>
        <w:t xml:space="preserve"> </w:t>
      </w:r>
      <w:r>
        <w:rPr>
          <w:rFonts w:ascii="微软雅黑" w:hAnsi="微软雅黑" w:eastAsia="微软雅黑" w:cs="微软雅黑"/>
          <w:b w:val="1"/>
          <w:i w:val="1"/>
          <w:strike w:val="0"/>
          <w:color w:val="0000FF"/>
          <w:sz w:val="32"/>
          <w:u w:val="none"/>
        </w:rPr>
        <w:t> </w:t>
      </w:r>
      <w:bookmarkEnd w:id="13"/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图 2-1 中箭头表示数据/调用流向：用户端↔服务端为业务动作请求/响应链路；模拟器→服务端为遥测、故障与状态上报链路；服务端→运行库为唯一写库路径；黄金库→运行库为复位路径；用户端→腾讯地图云为地址解析与路线调用。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各模块位置：用户端是业务发起方与交互入口；服务端是业务裁判与账房（校验、状态机、计费、落库、统计）；模拟器是设备数据源；黄金库保证每次演示与彩排从相同的受校验数据出发。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本章按需求矩阵的大分类将系统划分为三个模块，逐一给出功能定义、模块结构与动作时序；模块划分与功能点同《需求矩阵》逐条对应（见各表“对应需求”列），关键接口在本文第 4 章给出。</w:t>
      </w:r>
    </w:p>
    <w:p>
      <w:pPr>
        <w:pStyle w:val="000002"/>
        <w:tabs>
          <w:tab w:val="left" w:pos="432"/>
        </w:tabs>
        <w:snapToGrid w:val="0"/>
        <w:ind w:left="0"/>
        <w:rPr/>
      </w:pPr>
      <w:r>
        <w:rPr>
          <w:rFonts w:ascii="宋体" w:hAnsi="宋体" w:eastAsia="宋体" w:cs="宋体"/>
          <w:sz w:val="36"/>
        </w:rPr>
        <w:t>3 模块详细概述</w:t>
      </w:r>
    </w:p>
    <w:p>
      <w:pPr>
        <w:pStyle w:val="000003"/>
        <w:tabs>
          <w:tab w:val="left" w:pos="420"/>
        </w:tabs>
        <w:snapToGrid w:val="0"/>
        <w:spacing w:before="0" w:after="0" w:line="360"/>
        <w:ind w:left="0" w:right="0" w:hanging="0"/>
        <w:rPr>
          <w:rFonts w:ascii="微软雅黑" w:hAnsi="微软雅黑" w:eastAsia="微软雅黑" w:cs="微软雅黑"/>
          <w:b w:val="1"/>
          <w:sz w:val="32"/>
        </w:rPr>
      </w:pPr>
      <w:bookmarkStart w:id="14" w:name="_Toc207791267"/>
      <w:bookmarkEnd w:id="14"/>
      <w:bookmarkStart w:id="15" w:name="_Toc261876965"/>
      <w:r>
        <w:rPr>
          <w:rFonts w:ascii="宋体" w:hAnsi="宋体" w:eastAsia="宋体" w:cs="宋体"/>
          <w:b w:val="1"/>
          <w:i w:val="0"/>
          <w:strike w:val="0"/>
          <w:color w:val="000000"/>
          <w:sz w:val="32"/>
          <w:u w:val="none"/>
        </w:rPr>
        <w:t xml:space="preserve">3.1 Qt </w:t>
      </w:r>
      <w:bookmarkEnd w:id="15"/>
      <w:r>
        <w:rPr>
          <w:rFonts w:ascii="宋体" w:hAnsi="宋体" w:eastAsia="宋体" w:cs="宋体"/>
          <w:b w:val="1"/>
          <w:i w:val="0"/>
          <w:strike w:val="0"/>
          <w:color w:val="000000"/>
          <w:sz w:val="32"/>
          <w:u w:val="none"/>
        </w:rPr>
        <w:t>用户端模块（充电用户端，负责人 #3）</w:t>
      </w:r>
    </w:p>
    <w:p>
      <w:pPr>
        <w:pStyle w:val="000004"/>
        <w:tabs>
          <w:tab w:val="left" w:pos="420"/>
        </w:tabs>
        <w:snapToGrid w:val="0"/>
        <w:rPr/>
      </w:pPr>
      <w:bookmarkStart w:id="16" w:name="_Toc207791268"/>
      <w:bookmarkEnd w:id="16"/>
      <w:bookmarkStart w:id="17" w:name="_Toc261876966"/>
      <w:r>
        <w:rPr>
          <w:rFonts w:ascii="宋体" w:hAnsi="宋体" w:eastAsia="宋体" w:cs="宋体"/>
          <w:sz w:val="28"/>
        </w:rPr>
        <w:t>3.1.1</w:t>
      </w:r>
      <w:bookmarkEnd w:id="17"/>
      <w:r>
        <w:rPr>
          <w:rFonts w:ascii="宋体" w:hAnsi="宋体" w:eastAsia="宋体" w:cs="宋体"/>
          <w:sz w:val="28"/>
        </w:rPr>
        <w:t xml:space="preserve"> 模块功能定义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本模块功能点与《需求矩阵》“充电用户端”分类逐条对应，见表 3-1。</w:t>
      </w:r>
    </w:p>
    <w:tbl>
      <w:tblPr>
        <w:tblStyle w:val="000014"/>
        <w:tblLayout w:type="fixed"/>
      </w:tblPr>
      <w:tblGrid>
        <w:gridCol w:w="675"/>
        <w:gridCol w:w="1575"/>
        <w:gridCol w:w="5100"/>
        <w:gridCol w:w="1020"/>
      </w:tblGrid>
      <w:tr>
        <w:trPr/>
        <w:tc>
          <w:tcPr>
            <w:tcW w:w="6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序号</w:t>
            </w:r>
          </w:p>
        </w:tc>
        <w:tc>
          <w:tcPr>
            <w:tcW w:w="157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功能点</w:t>
            </w:r>
          </w:p>
        </w:tc>
        <w:tc>
          <w:tcPr>
            <w:tcW w:w="510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功能点详细内容</w:t>
            </w:r>
          </w:p>
        </w:tc>
        <w:tc>
          <w:tcPr>
            <w:tcW w:w="102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对应需求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免密注册/登录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 位手机号校验；服务端命中即返回 token 直接登录，未命中自动注册为“用户+后4位”并发 token，提示「注册并登录」。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NO.1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个人信息展示与修改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登录后展示默认灰色头像、昵称、钱包余额（元）；改昵称实时落库；展示账户余额，支持模拟充值。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NO.2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位置定位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下拉选区域或手动输入地址，经腾讯地图 geocoder 接口换算经纬度；Key 从本地配置读取、不写死在代码；解析失败或超时提示原因并支持重试。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NO.3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附近电站列表展示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按当前位置请求附近电站，客户端以 Haversine 公式计算距离并按由近到远排序；卡片显示站名、单价、总桩/空闲数与距离，支持按站名搜索。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NO.4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电站详情查看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station.detail 与 charger.list 进入详情页，展示站点信息与全部电桩明细（编号、快慢充、状态、功率），空闲桩高亮、可直接进入充电。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NO.5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地图导航集成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QWebEngineView 加载内置导航页，调用腾讯地图 JavaScript API GL 标注起终点并绘制路线；支持驾车/步行切换重新规划，失败提示原因并可重试，保留最后一次成功路线。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NO.6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充电前检查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进入充电页前先调 order.current；存在预约中或充电中订单时弹窗提醒并强制跳转，避免重复下单。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NO.7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充电操作与计费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charge.reserve 预约空闲桩 → charge.start（校验冻结、余额与桩可用）→ 充电中每 3 秒遥测、服务端按累计电量×站点单价计费 → charge.stop → charge.settle 结算扣款；余额不足转冻结、充值后可续结；历史订单可随时查看。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NO.8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表 3-1 充电用户端模块功能描述</w:t>
      </w:r>
    </w:p>
    <w:p>
      <w:pPr>
        <w:pStyle w:val="000004"/>
        <w:tabs>
          <w:tab w:val="left" w:pos="420"/>
        </w:tabs>
        <w:snapToGrid w:val="0"/>
        <w:rPr/>
      </w:pPr>
      <w:bookmarkStart w:id="18" w:name="_Toc261876968"/>
      <w:r>
        <w:rPr>
          <w:rFonts w:ascii="宋体" w:hAnsi="宋体" w:eastAsia="宋体" w:cs="宋体"/>
          <w:sz w:val="28"/>
        </w:rPr>
        <w:t xml:space="preserve">3.1.2 </w:t>
      </w:r>
      <w:bookmarkEnd w:id="18"/>
      <w:r>
        <w:rPr>
          <w:rFonts w:ascii="宋体" w:hAnsi="宋体" w:eastAsia="宋体" w:cs="宋体"/>
          <w:sz w:val="28"/>
        </w:rPr>
        <w:t>模块结构</w:t>
      </w:r>
    </w:p>
    <w:p>
      <w:pPr>
        <w:snapToGrid w:val="0"/>
        <w:spacing w:before="0" w:after="0" w:line="360"/>
        <w:ind w:left="0" w:right="0" w:firstLine="425"/>
        <w:jc w:val="center"/>
        <w:rPr/>
      </w:pP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本模块按“界面层—业务服务层—线路层—运行配置层”组织：界面层由六个页面组成，全部经业务服务层 UserApi 发起动作；线路层把业务载荷封装为冻结契约的 TCP 帧并管理连接与断线重连；腾讯地图调用独立成客户端组件，与业务线路隔离。模块结构如图 3-1（绘图大纲见设计沟通记录），各小模块见表 3-2。</w:t>
      </w:r>
    </w:p>
    <w:p>
      <w:pPr>
        <w:snapToGrid w:val="0"/>
        <w:spacing w:before="0" w:after="0" w:line="240"/>
        <w:ind w:left="0" w:right="0"/>
        <w:jc w:val="center"/>
        <w:rPr/>
      </w:pPr>
      <w:bookmarkStart w:id="19" w:name="_Toc261876969"/>
      <w:bookmarkEnd w:id="19"/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278120" cy="3388706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38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图</w:t>
      </w: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3-1 </w:t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用户端模块结构图</w:t>
      </w:r>
    </w:p>
    <w:p>
      <w:pPr>
        <w:snapToGrid w:val="0"/>
        <w:spacing w:before="0" w:after="0" w:line="360"/>
        <w:ind w:left="0" w:right="0" w:hanging="0"/>
        <w:jc w:val="both"/>
        <w:rPr/>
      </w:pPr>
      <w:r>
        <w:rPr>
          <w:rFonts w:ascii="宋体" w:hAnsi="宋体" w:eastAsia="宋体" w:cs="宋体"/>
          <w:i w:val="0"/>
          <w:strike w:val="0"/>
          <w:color w:val="993366"/>
          <w:sz w:val="24"/>
          <w:u w:val="none"/>
        </w:rPr>
        <w:t> </w:t>
      </w:r>
    </w:p>
    <w:p>
      <w:pPr>
        <w:snapToGrid w:val="0"/>
        <w:spacing w:before="0" w:after="0" w:line="360"/>
        <w:ind w:left="0" w:right="0" w:hanging="0"/>
        <w:jc w:val="both"/>
        <w:rPr/>
      </w:pPr>
      <w:r>
        <w:rPr>
          <w:rFonts w:ascii="Times New Roman" w:hAnsi="Times New Roman" w:cs="Times New Roman"/>
          <w:b w:val="1"/>
          <w:i w:val="0"/>
          <w:strike w:val="0"/>
          <w:color w:val="000000"/>
          <w:sz w:val="24"/>
          <w:u w:val="none"/>
        </w:rPr>
        <w:t> </w:t>
      </w:r>
    </w:p>
    <w:tbl>
      <w:tblPr>
        <w:tblStyle w:val="000014"/>
        <w:tblLayout w:type="fixed"/>
      </w:tblPr>
      <w:tblGrid>
        <w:gridCol w:w="2490"/>
        <w:gridCol w:w="1245"/>
        <w:gridCol w:w="5325"/>
      </w:tblGrid>
      <w:tr>
        <w:trPr/>
        <w:tc>
          <w:tcPr>
            <w:tcW w:w="24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模块名称</w:t>
            </w:r>
          </w:p>
        </w:tc>
        <w:tc>
          <w:tcPr>
            <w:tcW w:w="124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模块类型</w:t>
            </w:r>
          </w:p>
        </w:tc>
        <w:tc>
          <w:tcPr>
            <w:tcW w:w="532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概要说明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MainWindow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53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主窗口与页面调度、会话重置联动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LoginPage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53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手机号登录/自动注册界面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NearbyPage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53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附近站点列表、距离排序与搜索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NavigationPage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53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腾讯地图导航容器与路线展示/重试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ChargePage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53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充电过程页：当前订单、电量计费、预约/开始/停止/结算操作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HistoryPage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53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历史订单查询与分页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ProfilePage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53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个人信息展示修改与模拟充值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UserApi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接口</w:t>
            </w:r>
          </w:p>
        </w:tc>
        <w:tc>
          <w:tcPr>
            <w:tcW w:w="53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业务动作统一封装（27 个冻结动作的客户端入口）与会话管理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TcpJsonClient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接口</w:t>
            </w:r>
          </w:p>
        </w:tc>
        <w:tc>
          <w:tcPr>
            <w:tcW w:w="53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TCP 帧编解码、连接管理、断线重连与超时控制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TencentMapClient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接口</w:t>
            </w:r>
          </w:p>
        </w:tc>
        <w:tc>
          <w:tcPr>
            <w:tcW w:w="53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腾讯地图 Web API 调用：地址解析与驾车/步行路线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WebEngineRuntime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53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QWebEngineView 运行时初始化与导航页装载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UserAppConfig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53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配置装载：服务端地址与地图 Key（本地配置/环境变量）</w:t>
            </w:r>
          </w:p>
        </w:tc>
      </w:tr>
      <w:tr>
        <w:trPr/>
        <w:tc>
          <w:tcPr>
            <w:tcW w:w="24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Models / Formatters / ContractTimestamp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53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领域模型、展示格式化与契约时间戳解析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表 3-2 用户端小模块清单</w:t>
      </w:r>
    </w:p>
    <w:p>
      <w:pPr>
        <w:pStyle w:val="000004"/>
        <w:tabs>
          <w:tab w:val="left" w:pos="576"/>
          <w:tab w:val="left" w:pos="720"/>
        </w:tabs>
        <w:snapToGrid w:val="0"/>
        <w:rPr/>
      </w:pPr>
      <w:r>
        <w:rPr>
          <w:rFonts w:ascii="宋体" w:hAnsi="宋体" w:eastAsia="宋体" w:cs="宋体"/>
          <w:sz w:val="28"/>
        </w:rPr>
        <w:t>3.1.3 模块动作时序图</w:t>
      </w:r>
      <w:bookmarkStart w:id="20" w:name="_Toc207791271"/>
      <w:bookmarkEnd w:id="20"/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用户端一次完整充电的动作时序如图 3-2：登录（auth.user_login）获得 token → station.list 拉取附近站并按距离排序 → station.detail / charger.list 查看桩明细 → charge.reserve 预约 → charge.start 开始充电 → 期间模拟器经服务端每 3 秒遥测、服务端累计电量并重算金额 → charge.stop 写入停止时间 → charge.settle 结算扣款 → order.current / order.list 刷新展示。时序中同时给出断线重连与地图失败重试的降级分支。</w:t>
      </w:r>
    </w:p>
    <w:p>
      <w:pPr>
        <w:pStyle w:val="000001"/>
        <w:pBdr/>
        <w:tabs>
          <w:tab w:val="left" w:pos="420"/>
        </w:tabs>
        <w:snapToGrid w:val="0"/>
        <w:ind/>
        <w:rPr/>
      </w:pPr>
      <w:r>
        <w:rPr/>
        <w:t> </w:t>
      </w:r>
      <w:r>
        <w:rPr/>
        <w:drawing>
          <wp:inline distT="0" distB="0" distL="0" distR="0">
            <wp:extent cx="5278120" cy="382472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38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before="0" w:after="0" w:line="240"/>
        <w:ind w:left="0" w:right="0"/>
        <w:jc w:val="center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图 3-2 用户端主流程时序图</w:t>
      </w:r>
    </w:p>
    <w:p>
      <w:pPr>
        <w:pStyle w:val="000003"/>
        <w:tabs>
          <w:tab w:val="left" w:pos="576"/>
        </w:tabs>
        <w:snapToGrid w:val="1"/>
        <w:spacing w:before="0" w:after="0" w:line="360"/>
        <w:ind w:left="578" w:right="0" w:hanging="578"/>
        <w:rPr/>
      </w:pPr>
      <w:r>
        <w:rPr>
          <w:rFonts w:ascii="宋体" w:hAnsi="宋体" w:eastAsia="宋体" w:cs="宋体"/>
          <w:i w:val="0"/>
          <w:strike w:val="0"/>
          <w:color w:val="000000"/>
          <w:sz w:val="32"/>
          <w:u w:val="none"/>
        </w:rPr>
        <w:t>3.2 Qt 管理/服务端模块（PC服务器端，负责人 #2）</w:t>
      </w:r>
    </w:p>
    <w:p>
      <w:pPr>
        <w:pStyle w:val="000004"/>
        <w:tabs>
          <w:tab w:val="left" w:pos="576"/>
        </w:tabs>
        <w:snapToGrid w:val="1"/>
        <w:rPr/>
      </w:pPr>
      <w:r>
        <w:rPr>
          <w:rFonts w:ascii="宋体" w:hAnsi="宋体" w:eastAsia="宋体" w:cs="宋体"/>
          <w:sz w:val="28"/>
        </w:rPr>
        <w:t>3.2.1 模块功能定义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本模块功能点与《需求矩阵》“PC服务器端”分类逐条对应，见表 3-3。</w:t>
      </w:r>
    </w:p>
    <w:tbl>
      <w:tblPr>
        <w:tblStyle w:val="000014"/>
        <w:tblLayout w:type="fixed"/>
      </w:tblPr>
      <w:tblGrid>
        <w:gridCol w:w="675"/>
        <w:gridCol w:w="1575"/>
        <w:gridCol w:w="5100"/>
        <w:gridCol w:w="1020"/>
      </w:tblGrid>
      <w:tr>
        <w:trPr/>
        <w:tc>
          <w:tcPr>
            <w:tcW w:w="6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序号</w:t>
            </w:r>
          </w:p>
        </w:tc>
        <w:tc>
          <w:tcPr>
            <w:tcW w:w="157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功能点</w:t>
            </w:r>
          </w:p>
        </w:tc>
        <w:tc>
          <w:tcPr>
            <w:tcW w:w="510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功能点详细内容</w:t>
            </w:r>
          </w:p>
        </w:tc>
        <w:tc>
          <w:tcPr>
            <w:tcW w:w="102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对应需求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管理员登录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SHA-256 比对密码（默认 admin/123456）；本地管理界面与 TCP 服务共用同一套业务逻辑与权限校验；服务端是唯一写 SQLite 的进程，写请求在单一数据库线程排队串行执行。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NO.9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营收趋势展示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Qt Charts 绘制近 7 日/30 日营收折线；数据由服务端从 SQLite 聚合，与外部展示数值同源一致。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NO.10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核心指标展示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顶部卡片展示今日/本月/总营收；整数分存储、千分位元展示。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NO.11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状态分布展示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表格加环形图展示五状态数量与占比，点击下钻查看该状态电桩明细。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NO.12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充电桩列表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编号、所属电站、快慢类型、功率、状态、累计次数与时长；按站点筛选与分页。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NO.13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远程重启操作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admin.charger_restart：故障→重启中→空闲，每步结果可追踪，events 表留痕。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NO.14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充电站列表与详情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编号、站名、地址、经纬度、总桩数、在线率与是否参与预测标记；点击行查看该站电桩实时明细。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NO.15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新增电站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admin.station_create 填写站名、地址、经纬度、单价与快慢桩数量，服务端一并建桩；新站默认不参与预测，但照常参与查询与统计。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NO.16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用户列表与查询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编号、手机号、昵称、余额、注册时间与状态；按手机号模糊搜索与分页。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NO.17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用户状态管理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admin.user_set_status 正常/冻结切换；冻结后禁止预约、充值、开始充电；操作留痕并二次确认。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NO.18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表 3-3 管理/服务端模块功能描述</w:t>
      </w:r>
    </w:p>
    <w:p>
      <w:pPr>
        <w:pStyle w:val="000004"/>
        <w:tabs>
          <w:tab w:val="left" w:pos="576"/>
        </w:tabs>
        <w:snapToGrid w:val="1"/>
        <w:rPr/>
      </w:pPr>
      <w:r>
        <w:rPr>
          <w:rFonts w:ascii="宋体" w:hAnsi="宋体" w:eastAsia="宋体" w:cs="宋体"/>
          <w:sz w:val="28"/>
        </w:rPr>
        <w:t>3.2.2 模块结构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本模块按“接入层—业务服务层—数据队列层”组织：接入层完成 TCP 监听、帧解析与会话管理；业务服务层按领域拆分为九个服务类，对应冻结契约的动作集合；数据队列层 DatabaseWorker 是运行期 SQLite 的唯一写入者，全部写操作排队串行执行并保证幂等。模块结构如图 3-3，各小模块见表 3-4。</w:t>
      </w:r>
    </w:p>
    <w:p>
      <w:pPr>
        <w:snapToGrid w:val="0"/>
        <w:spacing w:before="0" w:after="0" w:line="240"/>
        <w:ind w:left="0" w:right="0"/>
        <w:jc w:val="center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drawing>
          <wp:inline distT="0" distB="0" distL="0" distR="0">
            <wp:extent cx="5335270" cy="243487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 flipH="0" flipV="0">
                      <a:off x="0" y="0"/>
                      <a:ext cx="5335270" cy="243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图 3-3 管理/服务端模块结构图</w:t>
      </w:r>
    </w:p>
    <w:tbl>
      <w:tblPr>
        <w:tblStyle w:val="000014"/>
        <w:tblLayout w:type="fixed"/>
      </w:tblPr>
      <w:tblGrid>
        <w:gridCol w:w="3060"/>
        <w:gridCol w:w="1125"/>
        <w:gridCol w:w="4875"/>
      </w:tblGrid>
      <w:tr>
        <w:trPr/>
        <w:tc>
          <w:tcPr>
            <w:tcW w:w="30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模块名称</w:t>
            </w:r>
          </w:p>
        </w:tc>
        <w:tc>
          <w:tcPr>
            <w:tcW w:w="112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模块类型</w:t>
            </w:r>
          </w:p>
        </w:tc>
        <w:tc>
          <w:tcPr>
            <w:tcW w:w="487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概要说明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TCP 接入层（QTcpServer + 连接工作线程）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接口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监听与接入、4 字节长度头帧解析、粘包/半包处理、非法数据断开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AuthService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接口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auth.user_login / admin.login：身份验证与会话 token 管理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StationService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接口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station.list / station.detail / charger.list：站点与电桩查询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ChargeService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接口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charge.reserve/start/stop/settle、order.current/list/cancel：充电业务与订单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AdminService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接口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admin.dashboard/station_create/charger_restart/user_list/user_set_status：管理功能与统计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TelemetryService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接口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telemetry.push / simulator.fault_set：遥测与故障接纳、cursor 校验、计费联动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SimulatorService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接口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simulator.status：模拟器心跳与权威快照同步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HealthService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接口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system.health：服务健康与版本信息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DemoResetService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接口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demo.reset：运行中从黄金库复位演示数据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PermissionMatrix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角色×动作权限矩阵检查（先 AUTH_REQUIRED 后 FORBIDDEN）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DatabaseWorker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唯一运行期 SQLite 写入者：串行事务队列、request_log 幂等重放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统计聚合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营收/状态/趋势聚合，为   admin.dashboard 提供数据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表 3-4 管理/服务端小模块清单</w:t>
      </w:r>
    </w:p>
    <w:p>
      <w:pPr>
        <w:pStyle w:val="000004"/>
        <w:tabs>
          <w:tab w:val="left" w:pos="576"/>
        </w:tabs>
        <w:snapToGrid w:val="1"/>
        <w:rPr/>
      </w:pPr>
      <w:r>
        <w:rPr>
          <w:rFonts w:ascii="宋体" w:hAnsi="宋体" w:eastAsia="宋体" w:cs="宋体"/>
          <w:sz w:val="28"/>
        </w:rPr>
        <w:t>3.2.3 模块动作时序图</w:t>
      </w:r>
    </w:p>
    <w:p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服务端对每个请求的处理时序如图 3-4：帧解析与信封校验（version/action/payload）→ 权限矩阵检查（AUTH_REQUIRED 先于 FORBIDDEN）→ 业务规则校验（按各动作冻结的失败判定顺序）→ DatabaseWorker 串行事务执行（request_log 幂等：命中同 requestId 直接重放已存响应）→ 提交后返回 ok=true。遥测与故障事件在同一事务内推进每桩 device-event cursor；远程重启由数据库队列的确定性任务完成 restarting→idle。</w:t>
      </w:r>
    </w:p>
    <w:p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drawing>
          <wp:inline distT="0" distB="0" distL="0" distR="0">
            <wp:extent cx="5278120" cy="4477249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447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0"/>
        <w:spacing w:before="0" w:after="0" w:line="240"/>
        <w:ind w:left="0" w:right="0"/>
        <w:jc w:val="center"/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1"/>
          <w:u w:val="none"/>
        </w:rPr>
        <w:t>图 3-4 服务端请求处理时序图</w:t>
      </w:r>
    </w:p>
    <w:p>
      <w:pPr>
        <w:pStyle w:val="000003"/>
        <w:tabs>
          <w:tab w:val="left" w:pos="576"/>
        </w:tabs>
        <w:snapToGrid w:val="1"/>
        <w:spacing w:before="0" w:after="0" w:line="360"/>
        <w:ind w:left="578" w:right="0" w:hanging="578"/>
        <w:rPr/>
      </w:pPr>
      <w:r>
        <w:rPr>
          <w:rFonts w:ascii="宋体" w:hAnsi="宋体" w:eastAsia="宋体" w:cs="宋体"/>
          <w:i w:val="0"/>
          <w:strike w:val="0"/>
          <w:color w:val="000000"/>
          <w:sz w:val="32"/>
          <w:u w:val="none"/>
        </w:rPr>
        <w:t>3.3 SQLite 与模拟器模块（数据库端，负责人 #4）</w:t>
      </w:r>
    </w:p>
    <w:p>
      <w:pPr>
        <w:pStyle w:val="000004"/>
        <w:tabs>
          <w:tab w:val="left" w:pos="576"/>
        </w:tabs>
        <w:snapToGrid w:val="1"/>
        <w:rPr/>
      </w:pPr>
      <w:r>
        <w:rPr>
          <w:rFonts w:ascii="宋体" w:hAnsi="宋体" w:eastAsia="宋体" w:cs="宋体"/>
          <w:sz w:val="28"/>
        </w:rPr>
        <w:t>3.3.1 模块功能定义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本模块功能点与《需求矩阵》“数据库端”分类逐条对应，见表 3-5。</w:t>
      </w:r>
    </w:p>
    <w:tbl>
      <w:tblPr>
        <w:tblStyle w:val="000014"/>
        <w:tblLayout w:type="fixed"/>
      </w:tblPr>
      <w:tblGrid>
        <w:gridCol w:w="675"/>
        <w:gridCol w:w="1575"/>
        <w:gridCol w:w="5100"/>
        <w:gridCol w:w="1020"/>
      </w:tblGrid>
      <w:tr>
        <w:trPr/>
        <w:tc>
          <w:tcPr>
            <w:tcW w:w="6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序号</w:t>
            </w:r>
          </w:p>
        </w:tc>
        <w:tc>
          <w:tcPr>
            <w:tcW w:w="157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功能点</w:t>
            </w:r>
          </w:p>
        </w:tc>
        <w:tc>
          <w:tcPr>
            <w:tcW w:w="510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功能点详细内容</w:t>
            </w:r>
          </w:p>
        </w:tc>
        <w:tc>
          <w:tcPr>
            <w:tcW w:w="102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对应需求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数据库设计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SQLite v1 共 13 张业务表，带外键、CHECK 与部分唯一索引；固定种子 seed=20260901 生成 6 站、48 桩、30 用户、30 天订单与 90 天共 12,960 条历史，同一种子结果哈希一致；开启 WAL 与外键，写库超时 3 秒，金额一律整数分。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NO.19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通信与数据构建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 字节长度头 + JSON 的 TCP 帧协议（上限 1MiB），正确处理粘包/半包，非法数据立即断开；4 角色共 27 动作、统一 17 错误码、request_log 留痕；固定种子构建并封版黄金库，导出 12,960 行历史并生成清单与 SHA-256，结果可复现。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NO.20</w:t>
            </w:r>
          </w:p>
        </w:tc>
      </w:tr>
      <w:tr>
        <w:trPr/>
        <w:tc>
          <w:tcPr>
            <w:tcW w:w="6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5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充电桩遥测模拟器</w:t>
            </w:r>
          </w:p>
        </w:tc>
        <w:tc>
          <w:tcPr>
            <w:tcW w:w="510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Qt 桌面小程序模拟真实充电桩：遥测引擎按固定节奏每 3 秒上报电量遥测，可手动注入/解除故障；与服务端相同的 v1 帧协议，断线自动重连并用有界队列缓存；纯内存状态机，不写数据库、不上报金额。</w:t>
            </w:r>
          </w:p>
        </w:tc>
        <w:tc>
          <w:tcPr>
            <w:tcW w:w="10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NO.21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表 3-5 SQLite 与模拟器模块功能描述</w:t>
      </w:r>
    </w:p>
    <w:p>
      <w:pPr>
        <w:pStyle w:val="000004"/>
        <w:tabs>
          <w:tab w:val="left" w:pos="576"/>
        </w:tabs>
        <w:snapToGrid w:val="1"/>
        <w:rPr/>
      </w:pPr>
      <w:r>
        <w:rPr>
          <w:rFonts w:ascii="宋体" w:hAnsi="宋体" w:eastAsia="宋体" w:cs="宋体"/>
          <w:sz w:val="28"/>
        </w:rPr>
        <w:t>3.3.2 模块结构</w:t>
      </w:r>
    </w:p>
    <w:p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本模块分两部分：数据资产部分为 Python 工具链与 SQL 脚本，负责建库、种子、黄金库封存与导出；模拟器部分为 Qt 桌面程序，含确定性遥测引擎、协议客户端与可视化界面。模块结构如图 3-5，各小模块见表 3-6。</w:t>
      </w:r>
    </w:p>
    <w:p>
      <w:pPr>
        <w:pBdr/>
        <w:snapToGrid w:val="1"/>
        <w:spacing w:before="0" w:after="0" w:line="240"/>
        <w:ind w:left="0" w:right="0"/>
        <w:jc w:val="center"/>
        <w:rPr>
          <w:rFonts w:ascii="宋体" w:hAnsi="宋体" w:eastAsia="宋体" w:cs="宋体"/>
          <w:b w:val="1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4"/>
          <w:u w:val="none"/>
        </w:rPr>
        <w:drawing>
          <wp:inline distT="0" distB="0" distL="0" distR="0">
            <wp:extent cx="5278120" cy="5132991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513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图 3-5 数据库与模拟器模块结构图</w:t>
      </w:r>
    </w:p>
    <w:tbl>
      <w:tblPr>
        <w:tblStyle w:val="000014"/>
        <w:tblLayout w:type="fixed"/>
      </w:tblPr>
      <w:tblGrid>
        <w:gridCol w:w="3060"/>
        <w:gridCol w:w="1125"/>
        <w:gridCol w:w="4875"/>
      </w:tblGrid>
      <w:tr>
        <w:trPr/>
        <w:tc>
          <w:tcPr>
            <w:tcW w:w="30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模块名称</w:t>
            </w:r>
          </w:p>
        </w:tc>
        <w:tc>
          <w:tcPr>
            <w:tcW w:w="112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模块类型</w:t>
            </w:r>
          </w:p>
        </w:tc>
        <w:tc>
          <w:tcPr>
            <w:tcW w:w="487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概要说明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schema.sql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版本化 DDL：13 张表及外键、CHECK   与部分唯一索引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Style w:val="000015"/>
                <w:color/>
              </w:rPr>
              <w:fldChar w:fldCharType="begin"/>
            </w:r>
            <w:r>
              <w:rPr>
                <w:rStyle w:val="000015"/>
                <w:color/>
              </w:rPr>
              <w:instrText xml:space="preserve">HYPERLINK https://seed_demo.py normalLink \tdkey zl8qk4 \tdfe -10 \tdfn seed_demo.py \tdfu https://seed_demo.py \tdlt inline </w:instrText>
            </w:r>
            <w:r>
              <w:rPr>
                <w:rStyle w:val="000015"/>
                <w:color/>
              </w:rPr>
              <w:fldChar w:fldCharType="separate"/>
            </w:r>
            <w:r>
              <w:rPr>
                <w:rStyle w:val="000015"/>
                <w:color/>
              </w:rPr>
              <w:t>seed_demo.py</w:t>
            </w:r>
            <w:r>
              <w:rPr>
                <w:rStyle w:val="000015"/>
                <w:color/>
              </w:rPr>
              <w:fldChar w:fldCharType="end"/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固定种子生成 6 站/48 桩/30 用户/30 天订单/90 天小时历史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build_golden.py / finalize_golden.py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黄金库构建、封存并生成 manifest 与 SHA-256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Style w:val="000015"/>
                <w:color/>
              </w:rPr>
              <w:fldChar w:fldCharType="begin"/>
            </w:r>
            <w:r>
              <w:rPr>
                <w:rStyle w:val="000015"/>
                <w:color/>
              </w:rPr>
              <w:instrText xml:space="preserve">HYPERLINK https://export_ml_history.py normalLink \tdkey x1jjb2 \tdfe -10 \tdfn export_ml_history.py \tdfu https://export_ml_history.py \tdlt inline </w:instrText>
            </w:r>
            <w:r>
              <w:rPr>
                <w:rStyle w:val="000015"/>
                <w:color/>
              </w:rPr>
              <w:fldChar w:fldCharType="separate"/>
            </w:r>
            <w:r>
              <w:rPr>
                <w:rStyle w:val="000015"/>
                <w:color/>
              </w:rPr>
              <w:t>export_ml_history.py</w:t>
            </w:r>
            <w:r>
              <w:rPr>
                <w:rStyle w:val="000015"/>
                <w:color/>
              </w:rPr>
              <w:fldChar w:fldCharType="end"/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导出 12,960 行历史数据并生成清单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database/tests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schema/seed/黄金库的 pytest 校验套件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TelemetryEngine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确定性遥测状态机：3 秒节奏、模拟时钟推进与故障联动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SimulatorClient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接口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v1 帧协议客户端：遥测/故障/状态上报、断线重连、有界队列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SimulatorWindow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可视化界面：启停、故障注入、状态与事件日志显示</w:t>
            </w:r>
          </w:p>
        </w:tc>
      </w:tr>
      <w:tr>
        <w:trPr/>
        <w:tc>
          <w:tcPr>
            <w:tcW w:w="30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SimulatorConfig</w:t>
            </w:r>
          </w:p>
        </w:tc>
        <w:tc>
          <w:tcPr>
            <w:tcW w:w="112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内部模块</w:t>
            </w:r>
          </w:p>
        </w:tc>
        <w:tc>
          <w:tcPr>
            <w:tcW w:w="487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运行参数与站点/桩配置装载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表 3-6 SQLite 与模拟器小模块清单</w:t>
      </w:r>
    </w:p>
    <w:p>
      <w:pPr>
        <w:pStyle w:val="000004"/>
        <w:tabs>
          <w:tab w:val="left" w:pos="576"/>
        </w:tabs>
        <w:snapToGrid w:val="1"/>
        <w:rPr/>
      </w:pPr>
      <w:r>
        <w:rPr>
          <w:rFonts w:ascii="宋体" w:hAnsi="宋体" w:eastAsia="宋体" w:cs="宋体"/>
          <w:sz w:val="28"/>
        </w:rPr>
        <w:t>3.3.3 模块动作时序图</w:t>
      </w:r>
    </w:p>
    <w:p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模拟器与数据侧的时序如图 3-6：TelemetryEngine 按 3 秒节奏生成电量增量与当前状态 → SimulatorClient 以 telemetry.push 上报（recordedAt 必须严格大于该桩跨遥测/故障的共享游标）→ 故障注入走 simulator.fault_set，服务端在同一事务联动订单（预约取消或金额冻结）→ 恢复必须由管理端远程重启完成（fault→restarting→idle），模拟器不得自行恢复空闲。数据侧在演示/彩排前由黄金库复位生成运行库。</w:t>
      </w:r>
    </w:p>
    <w:p>
      <w:pPr>
        <w:pBdr>
          <w:bottom/>
        </w:pBd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drawing>
          <wp:inline distT="0" distB="0" distL="0" distR="0">
            <wp:extent cx="5278120" cy="2776352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277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图 3-6 遥测与故障上报时序图</w:t>
      </w:r>
    </w:p>
    <w:p>
      <w:pPr>
        <w:pStyle w:val="000003"/>
        <w:tabs>
          <w:tab w:val="left" w:pos="576"/>
        </w:tabs>
        <w:snapToGrid w:val="1"/>
        <w:spacing w:before="0" w:after="0" w:line="360"/>
        <w:ind w:left="578" w:right="0" w:hanging="578"/>
        <w:rPr/>
      </w:pPr>
      <w:r>
        <w:rPr>
          <w:rFonts w:ascii="宋体" w:hAnsi="宋体" w:eastAsia="宋体" w:cs="宋体"/>
          <w:i w:val="0"/>
          <w:strike w:val="0"/>
          <w:color w:val="000000"/>
          <w:sz w:val="32"/>
          <w:u w:val="none"/>
        </w:rPr>
        <w:t>3.4 系统端到端主流程时序</w:t>
      </w:r>
    </w:p>
    <w:p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跨三个进程的端到端主流程如图 3-7：用户端登录（auth.user_login）→ 查站查桩（station.list / station.detail / charger.list）→ 腾讯地图地址解析与驾车/步行路线 → 预约（charge.reserve）→ 开始充电（charge.start）→ 模拟器持续遥测（telemetry.push，服务端累计电量并重算金额）→ 停止（charge.stop，写入 endedAt）→ 结算（charge.settle，扣款并完成订单）→ 管理端统计（admin.dashboard）反映营收与桩状态变化。图中标注关键校验点：余额不足转冻结、每用户活动订单唯一、桩与订单耦合状态、requestId 幂等重放。</w:t>
      </w:r>
    </w:p>
    <w:p>
      <w:pPr>
        <w:pBdr>
          <w:bottom/>
        </w:pBd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drawing>
          <wp:inline distT="0" distB="0" distL="0" distR="0">
            <wp:extent cx="5278120" cy="3587592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5278120" cy="358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图 3-7 系统端到端主流程时序图</w:t>
      </w:r>
    </w:p>
    <w:p>
      <w:pPr>
        <w:pStyle w:val="000002"/>
        <w:tabs>
          <w:tab w:val="left" w:pos="432"/>
        </w:tabs>
        <w:snapToGrid w:val="0"/>
        <w:ind w:left="0"/>
        <w:rPr/>
      </w:pPr>
      <w:bookmarkStart w:id="21" w:name="_Toc261876970"/>
      <w:r>
        <w:rPr>
          <w:rFonts w:ascii="宋体" w:hAnsi="宋体" w:eastAsia="宋体" w:cs="宋体"/>
          <w:sz w:val="36"/>
        </w:rPr>
        <w:t>4  接口说明</w:t>
      </w:r>
      <w:bookmarkEnd w:id="21"/>
    </w:p>
    <w:p>
      <w:pPr>
        <w:pStyle w:val="000003"/>
        <w:tabs>
          <w:tab w:val="left" w:pos="420"/>
        </w:tabs>
        <w:snapToGrid w:val="0"/>
        <w:spacing w:before="0" w:after="0" w:line="360"/>
        <w:ind w:left="0" w:right="0" w:hanging="0"/>
        <w:rPr/>
      </w:pPr>
      <w:bookmarkStart w:id="22" w:name="_Toc261876971"/>
      <w:r>
        <w:rPr>
          <w:rFonts w:ascii="宋体" w:hAnsi="宋体" w:eastAsia="宋体" w:cs="宋体"/>
          <w:i w:val="1"/>
          <w:strike w:val="0"/>
          <w:color w:val="0000FF"/>
          <w:sz w:val="32"/>
          <w:u w:val="none"/>
        </w:rPr>
        <w:t xml:space="preserve">4.1 </w:t>
      </w:r>
      <w:bookmarkEnd w:id="22"/>
      <w:r>
        <w:rPr>
          <w:rFonts w:ascii="宋体" w:hAnsi="宋体" w:eastAsia="宋体" w:cs="宋体"/>
          <w:i w:val="0"/>
          <w:strike w:val="0"/>
          <w:color w:val="000000"/>
          <w:sz w:val="32"/>
          <w:u w:val="none"/>
        </w:rPr>
        <w:t>数据结构定义</w:t>
      </w:r>
    </w:p>
    <w:p>
      <w:pPr>
        <w:snapToGrid w:val="1"/>
        <w:spacing w:before="0" w:after="0" w:line="240"/>
        <w:ind w:left="0" w:right="0" w:firstLine="435"/>
        <w:jc w:val="both"/>
        <w:rPr/>
      </w:pPr>
      <w:r>
        <w:rPr>
          <w:rFonts w:ascii="Times New Roman" w:hAnsi="Times New Roman" w:cs="Times New Roman"/>
          <w:i w:val="1"/>
          <w:strike w:val="0"/>
          <w:color w:val="0000FF"/>
          <w:sz w:val="24"/>
          <w:u w:val="none"/>
        </w:rPr>
        <w:t> </w:t>
      </w:r>
    </w:p>
    <w:p>
      <w:pPr>
        <w:pStyle w:val="000004"/>
        <w:snapToGrid w:val="1"/>
        <w:rPr/>
      </w:pPr>
      <w:r>
        <w:rPr>
          <w:rFonts w:ascii="宋体" w:hAnsi="宋体" w:eastAsia="宋体" w:cs="宋体"/>
          <w:sz w:val="28"/>
        </w:rPr>
        <w:t>4.1.1 线路帧与协议信封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线路帧格式：前 4 字节为无符号大端整数 length（仅计后续 JSON 载荷字节数，取值 1..1,048,576），其后为 UTF-8 编码的 JSON 对象；TCP 拆包/粘包不得改变帧语义。请求与响应均封装为信封对象，字段见表 4-1、表 4-2。</w:t>
      </w:r>
    </w:p>
    <w:tbl>
      <w:tblPr>
        <w:tblStyle w:val="000014"/>
        <w:tblLayout w:type="fixed"/>
      </w:tblPr>
      <w:tblGrid>
        <w:gridCol w:w="1470"/>
        <w:gridCol w:w="1245"/>
        <w:gridCol w:w="6345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字段</w:t>
            </w:r>
          </w:p>
        </w:tc>
        <w:tc>
          <w:tcPr>
            <w:tcW w:w="124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634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version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integer</w:t>
            </w:r>
          </w:p>
        </w:tc>
        <w:tc>
          <w:tcPr>
            <w:tcW w:w="6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必须恰为 1；其他数值返回 UNSUPPORTED_VERSION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requestId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幂等键；变更请求以它重放已保存响应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action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冻结的 27 个动作名之一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token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可选；会话令牌，不得入日志或响应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payload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object</w:t>
            </w:r>
          </w:p>
        </w:tc>
        <w:tc>
          <w:tcPr>
            <w:tcW w:w="6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按各动作声明校验的载荷；未声明字段忽略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表 4-1 RequestEnvelope 字段定义</w:t>
      </w:r>
    </w:p>
    <w:tbl>
      <w:tblPr>
        <w:tblStyle w:val="000014"/>
        <w:tblLayout w:type="fixed"/>
      </w:tblPr>
      <w:tblGrid>
        <w:gridCol w:w="1470"/>
        <w:gridCol w:w="1245"/>
        <w:gridCol w:w="6345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字段</w:t>
            </w:r>
          </w:p>
        </w:tc>
        <w:tc>
          <w:tcPr>
            <w:tcW w:w="124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634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requestId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与请求一致；无法提取请求 ID 的帧错误可为空串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ok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boolean</w:t>
            </w:r>
          </w:p>
        </w:tc>
        <w:tc>
          <w:tcPr>
            <w:tcW w:w="6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成功 true / 失败 false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code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成功为 OK；失败为 17 个冻结错误码之一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message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6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人类可读信息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data</w:t>
            </w:r>
          </w:p>
        </w:tc>
        <w:tc>
          <w:tcPr>
            <w:tcW w:w="12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object</w:t>
            </w:r>
          </w:p>
        </w:tc>
        <w:tc>
          <w:tcPr>
            <w:tcW w:w="634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成功时为该动作定义的对象；失败时恰为 {}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表 4-2 ResponseEnvelope 字段定义</w:t>
      </w:r>
    </w:p>
    <w:p>
      <w:pPr>
        <w:pStyle w:val="000004"/>
        <w:snapToGrid w:val="1"/>
        <w:rPr/>
      </w:pPr>
      <w:r>
        <w:rPr>
          <w:rFonts w:ascii="宋体" w:hAnsi="宋体" w:eastAsia="宋体" w:cs="宋体"/>
          <w:sz w:val="28"/>
        </w:rPr>
        <w:t>4.1.2 核心业务对象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服务端成功响应返回的核心对象字段如下（金额一律整数分；时间戳为显式 +08:00 的 ISO 8601 字符串）。</w:t>
      </w:r>
    </w:p>
    <w:tbl>
      <w:tblPr>
        <w:tblStyle w:val="000014"/>
        <w:tblLayout w:type="fixed"/>
      </w:tblPr>
      <w:tblGrid>
        <w:gridCol w:w="1800"/>
        <w:gridCol w:w="1350"/>
        <w:gridCol w:w="5895"/>
      </w:tblGrid>
      <w:tr>
        <w:trPr/>
        <w:tc>
          <w:tcPr>
            <w:tcW w:w="18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字段</w:t>
            </w:r>
          </w:p>
        </w:tc>
        <w:tc>
          <w:tcPr>
            <w:tcW w:w="135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58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userId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integer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正整数，用户唯一标识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mobile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手机号，匹配 ^1[3-9][0-9]{9}$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nickname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昵称，trim 后非空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avatarPath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头像路径，空串表示未设置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balanceFen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integer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非负余额（分）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status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active | frozen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registeredAt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Timestamp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注册时间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表 4-3 User 对象定义</w:t>
      </w:r>
    </w:p>
    <w:tbl>
      <w:tblPr>
        <w:tblStyle w:val="000014"/>
        <w:tblLayout w:type="fixed"/>
      </w:tblPr>
      <w:tblGrid>
        <w:gridCol w:w="1800"/>
        <w:gridCol w:w="1350"/>
        <w:gridCol w:w="5895"/>
      </w:tblGrid>
      <w:tr>
        <w:trPr/>
        <w:tc>
          <w:tcPr>
            <w:tcW w:w="18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字段</w:t>
            </w:r>
          </w:p>
        </w:tc>
        <w:tc>
          <w:tcPr>
            <w:tcW w:w="135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58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stationId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integer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正整数，站点标识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name / address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站名与详细地址，trim 后非空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latitude/ longitude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number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纬度 [-90,90]，经度 [-180,180]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priceFenPerKwh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integer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电价（分/度），正整数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forecastEnabled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boolean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是否参与预测；新建站固定 false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chargerCount/ idleCount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integer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总桩数与空闲数，0..chargerCount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distanceKm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number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可省略；station.list 携带坐标时出现并按其升序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表 4-4 Station 对象定义</w:t>
      </w:r>
    </w:p>
    <w:tbl>
      <w:tblPr>
        <w:tblStyle w:val="000014"/>
        <w:tblLayout w:type="fixed"/>
      </w:tblPr>
      <w:tblGrid>
        <w:gridCol w:w="1800"/>
        <w:gridCol w:w="1350"/>
        <w:gridCol w:w="5895"/>
      </w:tblGrid>
      <w:tr>
        <w:trPr/>
        <w:tc>
          <w:tcPr>
            <w:tcW w:w="18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字段</w:t>
            </w:r>
          </w:p>
        </w:tc>
        <w:tc>
          <w:tcPr>
            <w:tcW w:w="135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589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chargerId/ stationId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integer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桩与所属站标识，正整数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code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桩编码，全局唯一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type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fast | slow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powerKw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number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额定功率，正数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status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idle | reserved | charging | fault | restarting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chargeCount/ totalDurationSec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integer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累计充电次数与累计时长，非负</w:t>
            </w:r>
          </w:p>
        </w:tc>
      </w:tr>
      <w:tr>
        <w:trPr/>
        <w:tc>
          <w:tcPr>
            <w:tcW w:w="18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updatedAt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Timestamp</w:t>
            </w:r>
          </w:p>
        </w:tc>
        <w:tc>
          <w:tcPr>
            <w:tcW w:w="589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最近权威更新时间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表 4-5 Charger 对象定义</w:t>
      </w:r>
    </w:p>
    <w:tbl>
      <w:tblPr>
        <w:tblStyle w:val="000014"/>
        <w:tblLayout w:type="fixed"/>
      </w:tblPr>
      <w:tblGrid>
        <w:gridCol w:w="2040"/>
        <w:gridCol w:w="1350"/>
        <w:gridCol w:w="5655"/>
      </w:tblGrid>
      <w:tr>
        <w:trPr/>
        <w:tc>
          <w:tcPr>
            <w:tcW w:w="204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字段</w:t>
            </w:r>
          </w:p>
        </w:tc>
        <w:tc>
          <w:tcPr>
            <w:tcW w:w="135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类型</w:t>
            </w:r>
          </w:p>
        </w:tc>
        <w:tc>
          <w:tcPr>
            <w:tcW w:w="565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说明</w:t>
            </w:r>
          </w:p>
        </w:tc>
      </w:tr>
      <w:tr>
        <w:trPr/>
        <w:tc>
          <w:tcPr>
            <w:tcW w:w="20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orderId / userId /chargerId/stationId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integer</w:t>
            </w:r>
          </w:p>
        </w:tc>
        <w:tc>
          <w:tcPr>
            <w:tcW w:w="56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订单与关联实体标识，正整数</w:t>
            </w:r>
          </w:p>
        </w:tc>
      </w:tr>
      <w:tr>
        <w:trPr/>
        <w:tc>
          <w:tcPr>
            <w:tcW w:w="20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stationName / chargerCode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6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站点名称与桩编码冗余展示</w:t>
            </w:r>
          </w:p>
        </w:tc>
      </w:tr>
      <w:tr>
        <w:trPr/>
        <w:tc>
          <w:tcPr>
            <w:tcW w:w="20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status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string</w:t>
            </w:r>
          </w:p>
        </w:tc>
        <w:tc>
          <w:tcPr>
            <w:tcW w:w="56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reserved | charging | completed | cancelled</w:t>
            </w:r>
          </w:p>
        </w:tc>
      </w:tr>
      <w:tr>
        <w:trPr/>
        <w:tc>
          <w:tcPr>
            <w:tcW w:w="20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reservedAt / startedAt / endedAt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Timestamp</w:t>
            </w:r>
          </w:p>
        </w:tc>
        <w:tc>
          <w:tcPr>
            <w:tcW w:w="56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预约必填；开始/结束时间按状态可空</w:t>
            </w:r>
          </w:p>
        </w:tc>
      </w:tr>
      <w:tr>
        <w:trPr/>
        <w:tc>
          <w:tcPr>
            <w:tcW w:w="20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energyKwh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number</w:t>
            </w:r>
          </w:p>
        </w:tc>
        <w:tc>
          <w:tcPr>
            <w:tcW w:w="56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非负累计电量</w:t>
            </w:r>
          </w:p>
        </w:tc>
      </w:tr>
      <w:tr>
        <w:trPr/>
        <w:tc>
          <w:tcPr>
            <w:tcW w:w="20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amountFen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integer</w:t>
            </w:r>
          </w:p>
        </w:tc>
        <w:tc>
          <w:tcPr>
            <w:tcW w:w="56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服务端按冻结公式计算的金额，非负</w:t>
            </w:r>
          </w:p>
        </w:tc>
      </w:tr>
      <w:tr>
        <w:trPr/>
        <w:tc>
          <w:tcPr>
            <w:tcW w:w="20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elapsedSec</w:t>
            </w:r>
          </w:p>
        </w:tc>
        <w:tc>
          <w:tcPr>
            <w:tcW w:w="135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integer</w:t>
            </w:r>
          </w:p>
        </w:tc>
        <w:tc>
          <w:tcPr>
            <w:tcW w:w="565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服务端计算的计费时长，非负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表 4-6 Order 对象定义</w:t>
      </w:r>
    </w:p>
    <w:p>
      <w:pPr>
        <w:pStyle w:val="000004"/>
        <w:snapToGrid w:val="1"/>
        <w:rPr/>
      </w:pPr>
      <w:r>
        <w:rPr>
          <w:rFonts w:ascii="宋体" w:hAnsi="宋体" w:eastAsia="宋体" w:cs="宋体"/>
          <w:sz w:val="28"/>
        </w:rPr>
        <w:t>4.1.3 冻结枚举与状态机</w:t>
      </w:r>
    </w:p>
    <w:tbl>
      <w:tblPr>
        <w:tblStyle w:val="000014"/>
        <w:tblLayout w:type="fixed"/>
      </w:tblPr>
      <w:tblGrid>
        <w:gridCol w:w="1695"/>
        <w:gridCol w:w="4530"/>
        <w:gridCol w:w="2820"/>
      </w:tblGrid>
      <w:tr>
        <w:trPr/>
        <w:tc>
          <w:tcPr>
            <w:tcW w:w="16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状态集</w:t>
            </w:r>
          </w:p>
        </w:tc>
        <w:tc>
          <w:tcPr>
            <w:tcW w:w="453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精确取值</w:t>
            </w:r>
          </w:p>
        </w:tc>
        <w:tc>
          <w:tcPr>
            <w:tcW w:w="282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适用对象</w:t>
            </w:r>
          </w:p>
        </w:tc>
      </w:tr>
      <w:tr>
        <w:trPr/>
        <w:tc>
          <w:tcPr>
            <w:tcW w:w="16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user</w:t>
            </w:r>
          </w:p>
        </w:tc>
        <w:tc>
          <w:tcPr>
            <w:tcW w:w="45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active | frozen</w:t>
            </w:r>
          </w:p>
        </w:tc>
        <w:tc>
          <w:tcPr>
            <w:tcW w:w="28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用户</w:t>
            </w:r>
          </w:p>
        </w:tc>
      </w:tr>
      <w:tr>
        <w:trPr/>
        <w:tc>
          <w:tcPr>
            <w:tcW w:w="16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charger</w:t>
            </w:r>
          </w:p>
        </w:tc>
        <w:tc>
          <w:tcPr>
            <w:tcW w:w="45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idle | reserved | charging | fault | restarting</w:t>
            </w:r>
          </w:p>
        </w:tc>
        <w:tc>
          <w:tcPr>
            <w:tcW w:w="28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充电桩</w:t>
            </w:r>
          </w:p>
        </w:tc>
      </w:tr>
      <w:tr>
        <w:trPr/>
        <w:tc>
          <w:tcPr>
            <w:tcW w:w="16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</w:t>
            </w:r>
          </w:p>
        </w:tc>
        <w:tc>
          <w:tcPr>
            <w:tcW w:w="45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reserved | charging | completed | cancelled</w:t>
            </w:r>
          </w:p>
        </w:tc>
        <w:tc>
          <w:tcPr>
            <w:tcW w:w="28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</w:t>
            </w:r>
          </w:p>
        </w:tc>
      </w:tr>
      <w:tr>
        <w:trPr/>
        <w:tc>
          <w:tcPr>
            <w:tcW w:w="16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congestion</w:t>
            </w:r>
          </w:p>
        </w:tc>
        <w:tc>
          <w:tcPr>
            <w:tcW w:w="45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low | medium | high</w:t>
            </w:r>
          </w:p>
        </w:tc>
        <w:tc>
          <w:tcPr>
            <w:tcW w:w="28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拥堵等级</w:t>
            </w:r>
          </w:p>
        </w:tc>
      </w:tr>
      <w:tr>
        <w:trPr/>
        <w:tc>
          <w:tcPr>
            <w:tcW w:w="16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forecast run</w:t>
            </w:r>
          </w:p>
        </w:tc>
        <w:tc>
          <w:tcPr>
            <w:tcW w:w="453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active | superseded</w:t>
            </w:r>
          </w:p>
        </w:tc>
        <w:tc>
          <w:tcPr>
            <w:tcW w:w="282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预测批次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表 4-7 冻结枚举</w:t>
      </w:r>
    </w:p>
    <w:p>
      <w:pPr>
        <w:pBdr/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状态机转换：充电桩 idle→reserved→charging→idle，任意可运行状态可转 fault，fault→restarting→idle 由管理端远程重启驱动；订单 reserved→charging→completed，reserved 可取消。charge.stop 是停止计费点：写入 endedAt 后订单/桩仍为 charging，等待 charge.settle。桩与订单作为耦合状态处理：fault 作用于 reserved 桩时同事务取消其预约单，作用于 charging 桩时同事务写入 endedAt 并按冻结公式锁定金额；预约要求桩 idle 且无关联 reserved|charging 订单。状态机如图 4-1。</w:t>
      </w:r>
    </w:p>
    <w:p>
      <w:pPr>
        <w:snapToGrid w:val="1"/>
        <w:spacing w:before="0" w:after="0" w:line="240"/>
        <w:ind w:left="0" w:right="0"/>
        <w:jc w:val="both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drawing>
          <wp:inline distT="0" distB="0" distL="0" distR="0">
            <wp:extent cx="5278120" cy="3889944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8120" cy="388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i w:val="0"/>
          <w:strike w:val="0"/>
          <w:color w:val="808080"/>
          <w:sz w:val="22"/>
          <w:u w:val="none"/>
        </w:rPr>
        <w:t>（此处插入图 4-1，绘制大纲见设计沟通记录）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图 4-1 充电桩与订单状态机图</w:t>
      </w:r>
    </w:p>
    <w:p>
      <w:pPr>
        <w:pStyle w:val="000004"/>
        <w:snapToGrid w:val="1"/>
        <w:rPr/>
      </w:pPr>
      <w:r>
        <w:rPr>
          <w:rFonts w:ascii="宋体" w:hAnsi="宋体" w:eastAsia="宋体" w:cs="宋体"/>
          <w:sz w:val="28"/>
        </w:rPr>
        <w:t>4.1.4 SQLite 数据表清单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运行期数据库由服务端唯一写入，schema 版本化并随黄金库封存。13 张表职责与关键字段见表 4-8。</w:t>
      </w:r>
    </w:p>
    <w:tbl>
      <w:tblPr>
        <w:tblStyle w:val="000014"/>
        <w:tblLayout w:type="fixed"/>
      </w:tblPr>
      <w:tblGrid>
        <w:gridCol w:w="2265"/>
        <w:gridCol w:w="3615"/>
        <w:gridCol w:w="3165"/>
      </w:tblGrid>
      <w:tr>
        <w:trPr/>
        <w:tc>
          <w:tcPr>
            <w:tcW w:w="226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表名</w:t>
            </w:r>
          </w:p>
        </w:tc>
        <w:tc>
          <w:tcPr>
            <w:tcW w:w="361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职责</w:t>
            </w:r>
          </w:p>
        </w:tc>
        <w:tc>
          <w:tcPr>
            <w:tcW w:w="3165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关键字段</w:t>
            </w:r>
          </w:p>
        </w:tc>
      </w:tr>
      <w:tr>
        <w:trPr/>
        <w:tc>
          <w:tcPr>
            <w:tcW w:w="22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schema_version</w:t>
            </w:r>
          </w:p>
        </w:tc>
        <w:tc>
          <w:tcPr>
            <w:tcW w:w="36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数据库版本记录</w:t>
            </w:r>
          </w:p>
        </w:tc>
        <w:tc>
          <w:tcPr>
            <w:tcW w:w="31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version, applied_at</w:t>
            </w:r>
          </w:p>
        </w:tc>
      </w:tr>
      <w:tr>
        <w:trPr/>
        <w:tc>
          <w:tcPr>
            <w:tcW w:w="22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snapshot_meta</w:t>
            </w:r>
          </w:p>
        </w:tc>
        <w:tc>
          <w:tcPr>
            <w:tcW w:w="36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快照版本（单行，随事务递增）</w:t>
            </w:r>
          </w:p>
        </w:tc>
        <w:tc>
          <w:tcPr>
            <w:tcW w:w="31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id, version</w:t>
            </w:r>
          </w:p>
        </w:tc>
      </w:tr>
      <w:tr>
        <w:trPr/>
        <w:tc>
          <w:tcPr>
            <w:tcW w:w="22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admins</w:t>
            </w:r>
          </w:p>
        </w:tc>
        <w:tc>
          <w:tcPr>
            <w:tcW w:w="36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管理员账号</w:t>
            </w:r>
          </w:p>
        </w:tc>
        <w:tc>
          <w:tcPr>
            <w:tcW w:w="31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username, password_hash</w:t>
            </w:r>
          </w:p>
        </w:tc>
      </w:tr>
      <w:tr>
        <w:trPr/>
        <w:tc>
          <w:tcPr>
            <w:tcW w:w="22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users</w:t>
            </w:r>
          </w:p>
        </w:tc>
        <w:tc>
          <w:tcPr>
            <w:tcW w:w="36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用户</w:t>
            </w:r>
          </w:p>
        </w:tc>
        <w:tc>
          <w:tcPr>
            <w:tcW w:w="31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mobile, balance_fen, status</w:t>
            </w:r>
          </w:p>
        </w:tc>
      </w:tr>
      <w:tr>
        <w:trPr/>
        <w:tc>
          <w:tcPr>
            <w:tcW w:w="22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stations</w:t>
            </w:r>
          </w:p>
        </w:tc>
        <w:tc>
          <w:tcPr>
            <w:tcW w:w="36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站点</w:t>
            </w:r>
          </w:p>
        </w:tc>
        <w:tc>
          <w:tcPr>
            <w:tcW w:w="31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name, price_fen_per_kwh, forecast_enabled</w:t>
            </w:r>
          </w:p>
        </w:tc>
      </w:tr>
      <w:tr>
        <w:trPr/>
        <w:tc>
          <w:tcPr>
            <w:tcW w:w="22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chargers</w:t>
            </w:r>
          </w:p>
        </w:tc>
        <w:tc>
          <w:tcPr>
            <w:tcW w:w="36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充电桩</w:t>
            </w:r>
          </w:p>
        </w:tc>
        <w:tc>
          <w:tcPr>
            <w:tcW w:w="31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station_id, code, type, power_kw, status</w:t>
            </w:r>
          </w:p>
        </w:tc>
      </w:tr>
      <w:tr>
        <w:trPr/>
        <w:tc>
          <w:tcPr>
            <w:tcW w:w="22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orders</w:t>
            </w:r>
          </w:p>
        </w:tc>
        <w:tc>
          <w:tcPr>
            <w:tcW w:w="36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订单（活动订单每用户/每桩唯一索引）</w:t>
            </w:r>
          </w:p>
        </w:tc>
        <w:tc>
          <w:tcPr>
            <w:tcW w:w="31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user_id, charger_id, status, energy_kwh, amount_fen</w:t>
            </w:r>
          </w:p>
        </w:tc>
      </w:tr>
      <w:tr>
        <w:trPr/>
        <w:tc>
          <w:tcPr>
            <w:tcW w:w="22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telemetry</w:t>
            </w:r>
          </w:p>
        </w:tc>
        <w:tc>
          <w:tcPr>
            <w:tcW w:w="36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遥测样本</w:t>
            </w:r>
          </w:p>
        </w:tc>
        <w:tc>
          <w:tcPr>
            <w:tcW w:w="31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charger_id, recorded_at, power_kw,   energy_increment_kwh</w:t>
            </w:r>
          </w:p>
        </w:tc>
      </w:tr>
      <w:tr>
        <w:trPr/>
        <w:tc>
          <w:tcPr>
            <w:tcW w:w="22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station_hourly_history</w:t>
            </w:r>
          </w:p>
        </w:tc>
        <w:tc>
          <w:tcPr>
            <w:tcW w:w="36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站点小时历史（12,960 行）</w:t>
            </w:r>
          </w:p>
        </w:tc>
        <w:tc>
          <w:tcPr>
            <w:tcW w:w="31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station_id, observed_at, load_kw</w:t>
            </w:r>
          </w:p>
        </w:tc>
      </w:tr>
      <w:tr>
        <w:trPr/>
        <w:tc>
          <w:tcPr>
            <w:tcW w:w="22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forecast_runs</w:t>
            </w:r>
          </w:p>
        </w:tc>
        <w:tc>
          <w:tcPr>
            <w:tcW w:w="36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预测批次（至多一个 active）</w:t>
            </w:r>
          </w:p>
        </w:tc>
        <w:tc>
          <w:tcPr>
            <w:tcW w:w="31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run_id, status, payload_hash</w:t>
            </w:r>
          </w:p>
        </w:tc>
      </w:tr>
      <w:tr>
        <w:trPr/>
        <w:tc>
          <w:tcPr>
            <w:tcW w:w="22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forecasts</w:t>
            </w:r>
          </w:p>
        </w:tc>
        <w:tc>
          <w:tcPr>
            <w:tcW w:w="36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预测记录（每批 144 条）</w:t>
            </w:r>
          </w:p>
        </w:tc>
        <w:tc>
          <w:tcPr>
            <w:tcW w:w="31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run_id, station_id, horizon_h, congestion_level</w:t>
            </w:r>
          </w:p>
        </w:tc>
      </w:tr>
      <w:tr>
        <w:trPr/>
        <w:tc>
          <w:tcPr>
            <w:tcW w:w="22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events</w:t>
            </w:r>
          </w:p>
        </w:tc>
        <w:tc>
          <w:tcPr>
            <w:tcW w:w="36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事件留痕</w:t>
            </w:r>
          </w:p>
        </w:tc>
        <w:tc>
          <w:tcPr>
            <w:tcW w:w="31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event_type, entity_type, message</w:t>
            </w:r>
          </w:p>
        </w:tc>
      </w:tr>
      <w:tr>
        <w:trPr/>
        <w:tc>
          <w:tcPr>
            <w:tcW w:w="226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request_log</w:t>
            </w:r>
          </w:p>
        </w:tc>
        <w:tc>
          <w:tcPr>
            <w:tcW w:w="361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幂等日志</w:t>
            </w:r>
          </w:p>
        </w:tc>
        <w:tc>
          <w:tcPr>
            <w:tcW w:w="3165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request_id, response_json</w:t>
            </w:r>
          </w:p>
        </w:tc>
      </w:tr>
    </w:tbl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表 4-8 SQLite 数据表清单</w:t>
      </w:r>
    </w:p>
    <w:p>
      <w:pPr>
        <w:pStyle w:val="000003"/>
        <w:tabs>
          <w:tab w:val="left" w:pos="432"/>
        </w:tabs>
        <w:snapToGrid w:val="0"/>
        <w:ind w:left="0"/>
        <w:rPr/>
      </w:pPr>
      <w:r>
        <w:rPr>
          <w:rFonts w:ascii="宋体" w:hAnsi="宋体" w:eastAsia="宋体" w:cs="宋体"/>
          <w:sz w:val="32"/>
        </w:rPr>
        <w:t>4.2 函数</w:t>
      </w:r>
    </w:p>
    <w:p>
      <w:pPr>
        <w:pStyle w:val="000004"/>
        <w:tabs>
          <w:tab w:val="left" w:pos="576"/>
        </w:tabs>
        <w:snapToGrid w:val="1"/>
        <w:rPr/>
      </w:pPr>
      <w:r>
        <w:rPr>
          <w:rFonts w:ascii="宋体" w:hAnsi="宋体" w:eastAsia="宋体" w:cs="宋体"/>
          <w:sz w:val="28"/>
        </w:rPr>
        <w:t>4.2.1 模块间接口函数</w:t>
      </w:r>
    </w:p>
    <w:p>
      <w:pPr>
        <w:pBdr>
          <w:bottom/>
        </w:pBd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1"/>
          <w:strike w:val="0"/>
          <w:color w:val="0000FF"/>
          <w:sz w:val="24"/>
          <w:u w:val="none"/>
        </w:rPr>
        <w:t> 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模块间业务接口共 27 个冻结动作（其中 2 个为兼容保留动作），完整一览、载荷与错误码见《接口合同》§6–§7，本文不再复制。以下按核心路径选取 10 个代表函数给出设计约定；服务端正在实现中，其文件路径为设计约定路径。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 xml:space="preserve"> </w:t>
      </w:r>
    </w:p>
    <w:tbl>
      <w:tblPr>
        <w:tblStyle w:val="000014"/>
        <w:tblLayout w:type="fixed"/>
      </w:tblPr>
      <w:tblGrid>
        <w:gridCol w:w="1470"/>
        <w:gridCol w:w="759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函数名</w:t>
            </w:r>
          </w:p>
        </w:tc>
        <w:tc>
          <w:tcPr>
            <w:tcW w:w="75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TcpJsonClient::sendRequest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文件名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apps/user-client/src/net/TcpJsonClient.cpp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业务请求的线路发送与响应分发：封装 4 字节长度头与 JSON 信封，处理粘包/半包、断线重连与超时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记述形式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RequestHandle sendRequest(const QString &amp;action,   const QJsonObject &amp;payload)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QString action（I）：冻结动作名，如 charge.reserve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QJsonObject payload（I）：按动作定义的业务载荷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返回值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RequestHandle 异步句柄；响应经信号回投，携带 requestId / ok / code / message / data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详细说明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用户端所有业务动作的统一线路入口。发送前登记请求以支持迟到响应的会话代次过滤；断线进入重连流程并按缓存策略提示，不自动重发写操作。</w:t>
            </w:r>
          </w:p>
        </w:tc>
      </w:tr>
    </w:tbl>
    <w:p>
      <w:pPr>
        <w:pStyle w:val="000001"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t>表 4-9 TcpJsonClient::sendRequest（用户端·线路层）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 xml:space="preserve"> </w:t>
      </w:r>
    </w:p>
    <w:tbl>
      <w:tblPr>
        <w:tblStyle w:val="000014"/>
        <w:tblLayout w:type="fixed"/>
      </w:tblPr>
      <w:tblGrid>
        <w:gridCol w:w="1470"/>
        <w:gridCol w:w="759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函数名</w:t>
            </w:r>
          </w:p>
        </w:tc>
        <w:tc>
          <w:tcPr>
            <w:tcW w:w="75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UserApi::login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文件名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apps/user-client/src/services/UserApi.cpp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auth.user_login 封装：手机号本地校验、会话建立、用户与当前订单装载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记述形式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void login(const QString &amp;mobile)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QString mobile（I）：11 位手机号，匹配   ^1[3-9][0-9]{9}$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返回值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无（异步）：成功发 loginSucceeded(token, User)；失败发   errorOccurred(code, message)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详细说明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登录成功即建立会话并触发 order.current 检查未完成订单；新登录会话开启前   resetSession 清理旧会话与页面缓存。</w:t>
            </w:r>
          </w:p>
        </w:tc>
      </w:tr>
    </w:tbl>
    <w:p>
      <w:pPr>
        <w:pStyle w:val="000001"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t>表 4-10 UserApi::login（用户端·业务服务层）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 xml:space="preserve"> </w:t>
      </w:r>
    </w:p>
    <w:tbl>
      <w:tblPr>
        <w:tblStyle w:val="000014"/>
        <w:tblLayout w:type="fixed"/>
      </w:tblPr>
      <w:tblGrid>
        <w:gridCol w:w="1470"/>
        <w:gridCol w:w="759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函数名</w:t>
            </w:r>
          </w:p>
        </w:tc>
        <w:tc>
          <w:tcPr>
            <w:tcW w:w="75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UserApi::refreshStations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文件名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apps/user-client/src/services/UserApi.cpp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station.list 封装：携带定位获取附近站点，并按距离升序展示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记述形式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void refreshStations(double latitude, double   longitude)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double latitude（I）：纬度，[-90,90]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double longitude（I）：经度，[-180,180]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返回值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无（异步）：成功发 stationsSucceeded(QList&lt;Station&gt;)；失败发 errorOccurred(code, message)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详细说明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携带坐标时服务端每项必含 distanceKm 且按其升序；坐标缺一或越界返回 INVALID_REQUEST；客户端不再二次排序可信任服务端顺序。</w:t>
            </w:r>
          </w:p>
        </w:tc>
      </w:tr>
    </w:tbl>
    <w:p>
      <w:pPr>
        <w:pStyle w:val="000001"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t>表 4-11 UserApi::refreshStations（用户端·业务服务层）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 xml:space="preserve"> </w:t>
      </w:r>
    </w:p>
    <w:tbl>
      <w:tblPr>
        <w:tblStyle w:val="000014"/>
        <w:tblLayout w:type="fixed"/>
      </w:tblPr>
      <w:tblGrid>
        <w:gridCol w:w="1470"/>
        <w:gridCol w:w="759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函数名</w:t>
            </w:r>
          </w:p>
        </w:tc>
        <w:tc>
          <w:tcPr>
            <w:tcW w:w="75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TencentMapClient::geocode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文件名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apps/user-client/src/net/TencentMapClient.cpp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腾讯地图 Web API 地址解析：把地址换算为经纬度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记述形式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void geocode(const QString &amp;address)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QString address（I）：用户输入的地址文本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返回值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无（异步）：成功 geocodeSucceeded(latitude, longitude)；失败   mapErrorOccurred(reason)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详细说明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 仅从本地配置或环境变量注入，不写入代码与日志；失败提示真实原因并支持重试，不影响站点业务数据。</w:t>
            </w:r>
          </w:p>
        </w:tc>
      </w:tr>
    </w:tbl>
    <w:p>
      <w:pPr>
        <w:pStyle w:val="000001"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t>表 4-12 TencentMapClient::geocode（用户端·线路层）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 xml:space="preserve"> </w:t>
      </w:r>
    </w:p>
    <w:tbl>
      <w:tblPr>
        <w:tblStyle w:val="000014"/>
        <w:tblLayout w:type="fixed"/>
      </w:tblPr>
      <w:tblGrid>
        <w:gridCol w:w="1470"/>
        <w:gridCol w:w="759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函数名</w:t>
            </w:r>
          </w:p>
        </w:tc>
        <w:tc>
          <w:tcPr>
            <w:tcW w:w="75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TencentMapClient::route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文件名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apps/user-client/src/net/TencentMapClient.cpp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驾车/步行路线规划，并在 QWebEngineView 内展示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记述形式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void route(const GeoPoint &amp;from, const GeoPoint   &amp;to, TravelMode mode)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GeoPoint from / to（I）：起终点经纬度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TravelMode mode（I）：driving / walking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返回值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无（异步）：routeSucceeded(mode) / routeFailed(reason)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详细说明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成功后视野 fitBounds 覆盖全部路线点与起终点并预留信息面板边距；驾车/步行缓存分开；失败时显示真实错误、保留上次成功路线并提供重试。</w:t>
            </w:r>
          </w:p>
        </w:tc>
      </w:tr>
    </w:tbl>
    <w:p>
      <w:pPr>
        <w:pStyle w:val="000001"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t>表 4-13 TencentMapClient::route（用户端·线路层）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 xml:space="preserve"> </w:t>
      </w:r>
    </w:p>
    <w:tbl>
      <w:tblPr>
        <w:tblStyle w:val="000014"/>
        <w:tblLayout w:type="fixed"/>
      </w:tblPr>
      <w:tblGrid>
        <w:gridCol w:w="1470"/>
        <w:gridCol w:w="759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函数名</w:t>
            </w:r>
          </w:p>
        </w:tc>
        <w:tc>
          <w:tcPr>
            <w:tcW w:w="75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ChargeService::handleChargeReserve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文件名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apps/admin-server/src/services/ChargeService.cpp（设计约定路径）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预约：业务校验后创建 reserved 订单，桩 idle→reserved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记述形式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Response handleChargeReserve(const RequestEnvelope   &amp;req, Session &amp;session)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RequestEnvelope req（I）：已通过帧/信封/权限校验的请求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Session &amp;session（I）：token 会话，提供 userId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返回值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Response：data.order 为新建 reserved 订单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详细说明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业务校验权威顺序：USER_FROZEN → ACTIVE_ORDER_EXISTS → CHARGER_NOT_AVAILABLE；同一事务重读并锁定条件，桩仍有关联 reserved|charging 订单时不得预约（重启到 idle 不绕过唯一性 guard）。</w:t>
            </w:r>
          </w:p>
        </w:tc>
      </w:tr>
    </w:tbl>
    <w:p>
      <w:pPr>
        <w:pStyle w:val="000001"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t>表 4-14 ChargeService::handleChargeReserve（服务端·设计约定）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 xml:space="preserve"> </w:t>
      </w:r>
    </w:p>
    <w:tbl>
      <w:tblPr>
        <w:tblStyle w:val="000014"/>
        <w:tblLayout w:type="fixed"/>
      </w:tblPr>
      <w:tblGrid>
        <w:gridCol w:w="1470"/>
        <w:gridCol w:w="759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函数名</w:t>
            </w:r>
          </w:p>
        </w:tc>
        <w:tc>
          <w:tcPr>
            <w:tcW w:w="75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ChargeService::handleChargeSettle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文件名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apps/admin-server/src/services/ChargeService.cpp（设计约定路径）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结算：扣款、订单 charging→completed、桩按耦合规则转 idle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记述形式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Response handleChargeSettle(const RequestEnvelope   &amp;req, Session &amp;session)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RequestEnvelope req（I）：payload.orderId 为正整数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Session &amp;session（I）：token 会话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返回值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Response：data.order 为 completed 订单，data.balanceFen 为扣款后余额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详细说明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要求订单 charging 且 endedAt 非空；金额必须等于冻结的 qRound64(energyKwh × priceFenPerKwh)；余额不足返回 INSUFFICIENT_BALANCE；同一事务扣款并完成订单；桩为   charging 才转 idle，fault/restarting   保持原状态。</w:t>
            </w:r>
          </w:p>
        </w:tc>
      </w:tr>
    </w:tbl>
    <w:p>
      <w:pPr>
        <w:pStyle w:val="000001"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t>表 4-15 ChargeService::handleChargeSettle（服务端·设计约定）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 xml:space="preserve"> </w:t>
      </w:r>
    </w:p>
    <w:tbl>
      <w:tblPr>
        <w:tblStyle w:val="000014"/>
        <w:tblLayout w:type="fixed"/>
      </w:tblPr>
      <w:tblGrid>
        <w:gridCol w:w="1470"/>
        <w:gridCol w:w="759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函数名</w:t>
            </w:r>
          </w:p>
        </w:tc>
        <w:tc>
          <w:tcPr>
            <w:tcW w:w="75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TelemetryService::handleTelemetryPush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文件名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apps/admin-server/src/services/TelemetryService.cpp（设计约定路径）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遥测接纳：cursor 时序校验、电量累计与金额重算、样本落库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记述形式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Response handleTelemetryPush(const RequestEnvelope   &amp;req)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RequestEnvelope req（I）：chargerId / recordedAt /   powerKw / energyIncrementKwh / status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返回值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Response：data.acceptedAt 与关联订单（无则为 null）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详细说明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同 requestId 重放先于 cursor 校验；recordedAt 必须严格大于每桩共享游标；仅当桩=charging 且订单 charging、endedAt=null 时累计 energy 并重算 amount；payload 的 status 不驱动状态转换；接纳与游标推进在同一事务完成。</w:t>
            </w:r>
          </w:p>
        </w:tc>
      </w:tr>
    </w:tbl>
    <w:p>
      <w:pPr>
        <w:pStyle w:val="000001"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t>表 4-16 TelemetryService::handleTelemetryPush（服务端·设计约定）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 xml:space="preserve"> </w:t>
      </w:r>
    </w:p>
    <w:tbl>
      <w:tblPr>
        <w:tblStyle w:val="000014"/>
        <w:tblLayout w:type="fixed"/>
      </w:tblPr>
      <w:tblGrid>
        <w:gridCol w:w="1470"/>
        <w:gridCol w:w="759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函数名</w:t>
            </w:r>
          </w:p>
        </w:tc>
        <w:tc>
          <w:tcPr>
            <w:tcW w:w="75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AdminService::handleChargerRestart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文件名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apps/admin-server/src/services/AdminService.cpp（设计约定路径）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远程重启：fault→restarting，并由数据库队列的确定性任务转到 idle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记述形式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Response handleChargerRestart(const RequestEnvelope   &amp;req)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RequestEnvelope req（I）：payload.chargerId 为正整数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返回值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Response：data.charger 状态为 restarting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详细说明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仅权威状态 fault 可发起；操作写入 events 留痕；任何 UI/timer 线程不得直接写 SQLite，restarting→idle 由 DatabaseWorker 的确定性任务完成。</w:t>
            </w:r>
          </w:p>
        </w:tc>
      </w:tr>
    </w:tbl>
    <w:p>
      <w:pPr>
        <w:pStyle w:val="000001"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t>表 4-17 AdminService::handleChargerRestart（服务端·设计约定）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 xml:space="preserve"> </w:t>
      </w:r>
    </w:p>
    <w:tbl>
      <w:tblPr>
        <w:tblStyle w:val="000014"/>
        <w:tblLayout w:type="fixed"/>
      </w:tblPr>
      <w:tblGrid>
        <w:gridCol w:w="1470"/>
        <w:gridCol w:w="759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函数名</w:t>
            </w:r>
          </w:p>
        </w:tc>
        <w:tc>
          <w:tcPr>
            <w:tcW w:w="75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DatabaseWorker::submit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文件名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apps/admin-server/src/database/DatabaseWorker.cpp（设计约定路径）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运行期 SQLite 唯一写入者的串行事务队列入口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记述形式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void submit(Job job)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Job job（I）：携带事务体与完成回调的任务对象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返回值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无；结果经回调回投给调用服务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详细说明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全部业务写操作与 request_log 写入在此排队串行执行；UI/网络线程不直接写库；WAL 与外键开启、busy 超时   3 秒；幂等重放由队列内 request_log 查询完成。</w:t>
            </w:r>
          </w:p>
        </w:tc>
      </w:tr>
    </w:tbl>
    <w:p>
      <w:pPr>
        <w:pStyle w:val="000001"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t>表 4-18 DatabaseWorker::submit（服务端·设计约定）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</w:p>
    <w:p>
      <w:pPr>
        <w:pStyle w:val="000004"/>
        <w:snapToGrid w:val="1"/>
        <w:rPr/>
      </w:pPr>
      <w:r>
        <w:rPr>
          <w:rFonts w:ascii="宋体" w:hAnsi="宋体" w:eastAsia="宋体" w:cs="宋体"/>
          <w:sz w:val="28"/>
        </w:rPr>
        <w:t>4.2.2 模块内接口函数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以下给出各模块内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部的关键接口函数（每模块选取代表）。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  <w:r>
        <w:rPr/>
        <w:tab/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i w:val="1"/>
          <w:strike w:val="0"/>
          <w:color w:val="0000FF"/>
          <w:sz w:val="24"/>
          <w:u w:val="none"/>
        </w:rPr>
        <w:t> 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> </w:t>
      </w:r>
    </w:p>
    <w:p>
      <w:pPr>
        <w:snapToGrid w:val="1"/>
        <w:spacing w:before="0" w:after="0" w:line="240"/>
        <w:ind w:left="0" w:right="0"/>
        <w:jc w:val="both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 xml:space="preserve"> </w:t>
      </w:r>
    </w:p>
    <w:tbl>
      <w:tblPr>
        <w:tblStyle w:val="000014"/>
        <w:tblLayout w:type="fixed"/>
      </w:tblPr>
      <w:tblGrid>
        <w:gridCol w:w="1470"/>
        <w:gridCol w:w="759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函数名</w:t>
            </w:r>
          </w:p>
        </w:tc>
        <w:tc>
          <w:tcPr>
            <w:tcW w:w="75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computeAmountFen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文件名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apps/admin-server/src/services/Billing.cpp（设计约定路径）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按冻结公式计算订单金额，服务端唯一计费口径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记述形式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qint64 computeAmountFen(double energyKwh, qint64   priceFenPerKwh)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double energyKwh（I）：累计电量，非负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qint64 priceFenPerKwh（I）：站点单价（分/度）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返回值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qint64：四舍五入后的金额（分）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详细说明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金额 = qRound64(energyKwh × priceFenPerKwh)；每次电量变化后由服务端以累计电量重算，客户端不得提交最终金额或结算后余额。</w:t>
            </w:r>
          </w:p>
        </w:tc>
      </w:tr>
    </w:tbl>
    <w:p>
      <w:pPr>
        <w:pStyle w:val="000001"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t>表 4-19 computeAmountFen（服务端·计费口径）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 xml:space="preserve"> </w:t>
      </w:r>
    </w:p>
    <w:tbl>
      <w:tblPr>
        <w:tblStyle w:val="000014"/>
        <w:tblLayout w:type="fixed"/>
      </w:tblPr>
      <w:tblGrid>
        <w:gridCol w:w="1470"/>
        <w:gridCol w:w="759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函数名</w:t>
            </w:r>
          </w:p>
        </w:tc>
        <w:tc>
          <w:tcPr>
            <w:tcW w:w="75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PermissionMatrix::check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文件名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apps/admin-server/src/security/PermissionMatrix.cpp（设计约定路径）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按冻结的角色×动作权限矩阵判定请求是否允许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记述形式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Code check(Actor actor, const QString &amp;action)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Actor actor（I）：由 token 解析的调用身份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QString action（I）：动作名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返回值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Code：允许返回 OK；身份无效 AUTH_REQUIRED；无权限 FORBIDDEN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详细说明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system.health 对任意身份（含匿名）允许；未知动作对全部身份拒绝。权限检查在业务 SQL 与 payload 语义校验之前完成。</w:t>
            </w:r>
          </w:p>
        </w:tc>
      </w:tr>
    </w:tbl>
    <w:p>
      <w:pPr>
        <w:pStyle w:val="000001"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t>表 4-20 PermissionMatrix::check（服务端·权限）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 xml:space="preserve"> </w:t>
      </w:r>
    </w:p>
    <w:tbl>
      <w:tblPr>
        <w:tblStyle w:val="000014"/>
        <w:tblLayout w:type="fixed"/>
      </w:tblPr>
      <w:tblGrid>
        <w:gridCol w:w="1470"/>
        <w:gridCol w:w="759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函数名</w:t>
            </w:r>
          </w:p>
        </w:tc>
        <w:tc>
          <w:tcPr>
            <w:tcW w:w="75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UserApi::resetSession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文件名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apps/user-client/src/services/UserApi.cpp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会话复位：清理内存用户、token、请求关联与页面缓存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记述形式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void resetSession(ResetReason reason)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ResetReason reason（I）：newLogin / expired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返回值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无；通过 sessionReset 通知主窗口各页面清理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详细说明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新登录与会话过期均触发；取消全部旧请求的本地投递与安全读重放，迟到响应不得更新新账户或推动页面；不撤销服务端已执行的写操作。</w:t>
            </w:r>
          </w:p>
        </w:tc>
      </w:tr>
    </w:tbl>
    <w:p>
      <w:pPr>
        <w:pStyle w:val="000001"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t>表 4-21 UserApi::resetSession（用户端·会话防串扰）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宋体" w:hAnsi="宋体" w:eastAsia="宋体" w:cs="宋体"/>
          <w:b w:val="1"/>
          <w:i w:val="0"/>
          <w:strike w:val="0"/>
          <w:color w:val="000000"/>
          <w:sz w:val="22"/>
          <w:u w:val="none"/>
        </w:rPr>
        <w:t xml:space="preserve"> </w:t>
      </w:r>
    </w:p>
    <w:tbl>
      <w:tblPr>
        <w:tblStyle w:val="000014"/>
        <w:tblLayout w:type="fixed"/>
      </w:tblPr>
      <w:tblGrid>
        <w:gridCol w:w="1470"/>
        <w:gridCol w:w="7590"/>
      </w:tblGrid>
      <w:tr>
        <w:trPr/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函数名</w:t>
            </w:r>
          </w:p>
        </w:tc>
        <w:tc>
          <w:tcPr>
            <w:tcW w:w="7590" w:type="dxa"/>
            <w:tcBorders>
              <w:top w:val="single" w:color="000000" w:sz="11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1"/>
                <w:u w:val="none"/>
              </w:rPr>
              <w:t>TelemetryEngine::advanceSimTime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文件名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simulator/src/core/TelemetryEngine.cpp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功能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推进模拟时钟，保证每个事件的 recordedAt 严格递增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记述形式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QDateTime advanceSimTime(quint32 stepSec)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参数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quint32 stepSec（I）：本次推进的模拟秒数（默认节奏 3 秒）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返回值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QDateTime：本次事件使用的模拟时间戳</w:t>
            </w:r>
          </w:p>
        </w:tc>
      </w:tr>
      <w:tr>
        <w:trPr/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详细说明</w:t>
            </w:r>
          </w:p>
        </w:tc>
        <w:tc>
          <w:tcPr>
            <w:tcW w:w="7590" w:type="dxa"/>
            <w:tcBorders>
              <w:top w:val="single" w:color="000000" w:sz="0" w:space="0"/>
              <w:left w:val="single" w:color="000000" w:sz="0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36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同一 tick 内连续故障/恢复与遥测交错时仍保持严格递增（必要时单调进位）；存在活动订单时不进入加速场景，防止时间戳倒退引发 ORDER_STATE_CONFLICT。</w:t>
            </w:r>
          </w:p>
        </w:tc>
      </w:tr>
    </w:tbl>
    <w:p>
      <w:pPr>
        <w:pStyle w:val="000001"/>
        <w:jc w:val="center"/>
        <w:rPr>
          <w:color w:val="333333"/>
          <w:kern w:val="2"/>
          <w:sz w:val="22"/>
          <w:szCs w:val="24"/>
        </w:rPr>
      </w:pPr>
      <w:r>
        <w:rPr>
          <w:color w:val="333333"/>
          <w:kern w:val="2"/>
          <w:sz w:val="22"/>
          <w:szCs w:val="24"/>
        </w:rPr>
        <w:t>表 4-22 TelemetryEngine::advanceSimTime（模拟器·时钟推进）</w:t>
      </w:r>
    </w:p>
    <w:p>
      <w:pPr>
        <w:snapToGrid w:val="1"/>
        <w:spacing w:before="0" w:after="0" w:line="240"/>
        <w:ind w:left="0" w:right="0"/>
        <w:jc w:val="center"/>
        <w:rPr/>
      </w:pPr>
      <w:r>
        <w:rPr>
          <w:rFonts w:ascii="Times New Roman" w:hAnsi="Times New Roman" w:cs="Times New Roman"/>
          <w:i w:val="0"/>
          <w:strike w:val="0"/>
          <w:color w:val="000000"/>
          <w:sz w:val="21"/>
          <w:u w:val="none"/>
        </w:rPr>
        <w:t xml:space="preserve"> 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footnote text" w:uiPriority="99" w:semiHidden="1" w:unhideWhenUsed="1"/>
    <w:lsdException w:name="Table Columns 5" w:semiHidden="1" w:unhideWhenUsed="1"/>
    <w:lsdException w:name="Light Shading Accent 5" w:uiPriority="60"/>
    <w:lsdException w:name="Medium Shading 1 Accent 6" w:uiPriority="63"/>
    <w:lsdException w:name="Normal" w:qFormat="1"/>
    <w:lsdException w:name="Medium Grid 2 Accent 2" w:uiPriority="68"/>
    <w:lsdException w:name="No List" w:uiPriority="99" w:semiHidden="1" w:unhideWhenUsed="1"/>
    <w:lsdException w:name="toc 7" w:uiPriority="99"/>
    <w:lsdException w:name="Table Grid 4" w:semiHidden="1" w:unhideWhenUsed="1"/>
    <w:lsdException w:name="List Table 7 Colorful Accent 6" w:uiPriority="52"/>
    <w:lsdException w:name="Table Grid 8" w:semiHidden="1" w:unhideWhenUsed="1"/>
    <w:lsdException w:name="Light List Accent 4" w:uiPriority="61"/>
    <w:lsdException w:name="Plain Table 3" w:uiPriority="43"/>
    <w:lsdException w:name="toc 3" w:uiPriority="99"/>
    <w:lsdException w:name="Table Grid 6" w:semiHidden="1" w:unhideWhenUsed="1"/>
    <w:lsdException w:name="Medium Grid 1 Accent 3" w:uiPriority="67"/>
    <w:lsdException w:name="Table Grid 2" w:semiHidden="1" w:unhideWhenUsed="1"/>
    <w:lsdException w:name="Grid Table 2 Accent 4" w:uiPriority="47"/>
    <w:lsdException w:name="Grid Table 2 Accent 2" w:uiPriority="47"/>
    <w:lsdException w:name="List Table 5 Dark Accent 5" w:uiPriority="50"/>
    <w:lsdException w:name="Colorful List Accent 4" w:uiPriority="72"/>
    <w:lsdException w:name="Quote" w:uiPriority="99"/>
    <w:lsdException w:name="toc 6" w:uiPriority="99"/>
    <w:lsdException w:name="Grid Table 4 Accent 4" w:uiPriority="49"/>
    <w:lsdException w:name="Strong" w:qFormat="1"/>
    <w:lsdException w:name="HTML Variable" w:uiPriority="99"/>
    <w:lsdException w:name="Grid Table 3 Accent 3" w:uiPriority="48"/>
    <w:lsdException w:name="Table Theme" w:semiHidden="1" w:unhideWhenUsed="1"/>
    <w:lsdException w:name="Medium List 2 Accent 6" w:uiPriority="66"/>
    <w:lsdException w:name="Medium List 2 Accent 1" w:uiPriority="66"/>
    <w:lsdException w:name="Emphasis" w:qFormat="1"/>
    <w:lsdException w:name="Table List 8" w:semiHidden="1" w:unhideWhenUsed="1"/>
    <w:lsdException w:name="Table List 3" w:semiHidden="1" w:unhideWhenUsed="1"/>
    <w:lsdException w:name="Medium Grid 1 Accent 4" w:uiPriority="67"/>
    <w:lsdException w:name="List Table 5 Dark Accent 4" w:uiPriority="50"/>
    <w:lsdException w:name="List Table 4 Accent 3" w:uiPriority="49"/>
    <w:lsdException w:name="Colorful Shading Accent 2" w:uiPriority="71"/>
    <w:lsdException w:name="Light Grid Accent 1" w:uiPriority="62"/>
    <w:lsdException w:name="List Table 5 Dark Accent 6" w:uiPriority="50"/>
    <w:lsdException w:name="Medium Shading 2" w:uiPriority="64"/>
    <w:lsdException w:name="Table Classic 3" w:semiHidden="1" w:unhideWhenUsed="1"/>
    <w:lsdException w:name="heading 3" w:qFormat="1"/>
    <w:lsdException w:name="Medium Grid 2 Accent 4" w:uiPriority="68"/>
    <w:lsdException w:name="Placeholder Text" w:uiPriority="99" w:semiHidden="1"/>
    <w:lsdException w:name="Medium List 2 Accent 5" w:uiPriority="66"/>
    <w:lsdException w:name="Medium Grid 2 Accent 6" w:uiPriority="68"/>
    <w:lsdException w:name="Dark List" w:uiPriority="70"/>
    <w:lsdException w:name="Book Title" w:uiPriority="33" w:qFormat="1"/>
    <w:lsdException w:name="Grid Table 5 Dark Accent 6" w:uiPriority="50"/>
    <w:lsdException w:name="Medium Shading 1" w:uiPriority="63"/>
    <w:lsdException w:name="Table List 1" w:semiHidden="1" w:unhideWhenUsed="1"/>
    <w:lsdException w:name="List Table 6 Colorful Accent 2" w:uiPriority="51"/>
    <w:lsdException w:name="Light Grid Accent 4" w:uiPriority="62"/>
    <w:lsdException w:name="toc 1" w:uiPriority="99"/>
    <w:lsdException w:name="Dark List Accent 6" w:uiPriority="70"/>
    <w:lsdException w:name="Light List Accent 5" w:uiPriority="61"/>
    <w:lsdException w:name="Light Shading Accent 6" w:uiPriority="60"/>
    <w:lsdException w:name="List Table 1 Light" w:uiPriority="46"/>
    <w:lsdException w:name="Plain Table 1" w:uiPriority="41"/>
    <w:lsdException w:name="List Table 7 Colorful Accent 3" w:uiPriority="52"/>
    <w:lsdException w:name="List Table 2 Accent 6" w:uiPriority="47"/>
    <w:lsdException w:name="Medium Grid 3 Accent 6" w:uiPriority="69"/>
    <w:lsdException w:name="Colorful Grid Accent 6" w:uiPriority="73"/>
    <w:lsdException w:name="Light List Accent 2" w:uiPriority="61"/>
    <w:lsdException w:name="List Table 6 Colorful" w:uiPriority="51"/>
    <w:lsdException w:name="heading 4" w:qFormat="1"/>
    <w:lsdException w:name="Light List" w:uiPriority="61"/>
    <w:lsdException w:name="Table 3D effects 2" w:semiHidden="1" w:unhideWhenUsed="1"/>
    <w:lsdException w:name="Medium Grid 1 Accent 1" w:uiPriority="67"/>
    <w:lsdException w:name="Colorful List" w:uiPriority="72"/>
    <w:lsdException w:name="HTML Top of Form" w:uiPriority="99" w:semiHidden="1" w:unhideWhenUsed="1"/>
    <w:lsdException w:name="Plain Table 5" w:uiPriority="45"/>
    <w:lsdException w:name="Table Professional" w:semiHidden="1" w:unhideWhenUsed="1"/>
    <w:lsdException w:name="List Table 3 Accent 1" w:uiPriority="48"/>
    <w:lsdException w:name="Light Grid" w:uiPriority="62"/>
    <w:lsdException w:name="Colorful Shading" w:uiPriority="71"/>
    <w:lsdException w:name="List Table 7 Colorful Accent 4" w:uiPriority="52"/>
    <w:lsdException w:name="List Table 2 Accent 3" w:uiPriority="47"/>
    <w:lsdException w:name="Medium Grid 3" w:uiPriority="69"/>
    <w:lsdException w:name="Light List Accent 1" w:uiPriority="61"/>
    <w:lsdException w:name="List Paragraph" w:uiPriority="99"/>
    <w:lsdException w:name="Medium Shading 1 Accent 3" w:uiPriority="63"/>
    <w:lsdException w:name="Medium Shading 2 Accent 5" w:uiPriority="64"/>
    <w:lsdException w:name="Subtle Emphasis" w:uiPriority="19" w:qFormat="1"/>
    <w:lsdException w:name="Grid Table 3 Accent 5" w:uiPriority="48"/>
    <w:lsdException w:name="List Table 5 Dark Accent 1" w:uiPriority="50"/>
    <w:lsdException w:name="Grid Table 6 Colorful Accent 4" w:uiPriority="51"/>
    <w:lsdException w:name="List Table 6 Colorful Accent 3" w:uiPriority="51"/>
    <w:lsdException w:name="Grid Table 1 Light Accent 3" w:uiPriority="46"/>
    <w:lsdException w:name="Grid Table 4 Accent 1" w:uiPriority="49"/>
    <w:lsdException w:name="Dark List Accent 4" w:uiPriority="70"/>
    <w:lsdException w:name="List Table 7 Colorful Accent 5" w:uiPriority="52"/>
    <w:lsdException w:name="Grid Table 1 Light Accent 6" w:uiPriority="46"/>
    <w:lsdException w:name="List Table 5 Dark Accent 2" w:uiPriority="50"/>
    <w:lsdException w:name="heading 5" w:qFormat="1"/>
    <w:lsdException w:name="Light Shading" w:uiPriority="60"/>
    <w:lsdException w:name="Medium List 2 Accent 3" w:uiPriority="66"/>
    <w:lsdException w:name="Grid Table 5 Dark Accent 2" w:uiPriority="50"/>
    <w:lsdException w:name="Grid Table 5 Dark Accent 4" w:uiPriority="50"/>
    <w:lsdException w:name="Intense Emphasis" w:uiPriority="21" w:qFormat="1"/>
    <w:lsdException w:name="Colorful List Accent 5" w:uiPriority="72"/>
    <w:lsdException w:name="Table Web 2" w:semiHidden="1" w:unhideWhenUsed="1"/>
    <w:lsdException w:name="Medium Grid 2 Accent 3" w:uiPriority="68"/>
    <w:lsdException w:name="Table Grid" w:qFormat="1"/>
    <w:lsdException w:name="Light Shading Accent 1" w:uiPriority="60"/>
    <w:lsdException w:name="List Table 4 Accent 6" w:uiPriority="49"/>
    <w:lsdException w:name="Medium Grid 2 Accent 5" w:uiPriority="68"/>
    <w:lsdException w:name="Table List 2" w:semiHidden="1" w:unhideWhenUsed="1"/>
    <w:lsdException w:name="List Table 2 Accent 4" w:uiPriority="47"/>
    <w:lsdException w:name="Colorful List Accent 1" w:uiPriority="72"/>
    <w:lsdException w:name="Light Grid Accent 2" w:uiPriority="62"/>
    <w:lsdException w:name="Table Simple 1" w:semiHidden="1" w:unhideWhenUsed="1"/>
    <w:lsdException w:name="Table Grid 3" w:semiHidden="1" w:unhideWhenUsed="1"/>
    <w:lsdException w:name="Colorful Shading Accent 1" w:uiPriority="71"/>
    <w:lsdException w:name="caption" w:semiHidden="1" w:unhideWhenUsed="1" w:qFormat="1"/>
    <w:lsdException w:name="Table Classic 1" w:semiHidden="1" w:unhideWhenUsed="1"/>
    <w:lsdException w:name="Table Subtle 1" w:semiHidden="1" w:unhideWhenUsed="1"/>
    <w:lsdException w:name="Medium Grid 3 Accent 2" w:uiPriority="69"/>
    <w:lsdException w:name="Grid Table 6 Colorful Accent 6" w:uiPriority="51"/>
    <w:lsdException w:name="Grid Table 7 Colorful Accent 5" w:uiPriority="52"/>
    <w:lsdException w:name="Medium Shading 2 Accent 4" w:uiPriority="64"/>
    <w:lsdException w:name="Grid Table 5 Dark" w:uiPriority="50"/>
    <w:lsdException w:name="Table Grid 5" w:semiHidden="1" w:unhideWhenUsed="1"/>
    <w:lsdException w:name="List Table 6 Colorful Accent 6" w:uiPriority="51"/>
    <w:lsdException w:name="Light Shading Accent 4" w:uiPriority="60"/>
    <w:lsdException w:name="Grid Table 3 Accent 4" w:uiPriority="48"/>
    <w:lsdException w:name="Grid Table 7 Colorful Accent 3" w:uiPriority="52"/>
    <w:lsdException w:name="Colorful Grid Accent 2" w:uiPriority="73"/>
    <w:lsdException w:name="Grid Table 6 Colorful Accent 5" w:uiPriority="51"/>
    <w:lsdException w:name="Medium Grid 1 Accent 5" w:uiPriority="67"/>
    <w:lsdException w:name="Grid Table 4 Accent 2" w:uiPriority="49"/>
    <w:lsdException w:name="Plain Table 2" w:uiPriority="42"/>
    <w:lsdException w:name="Light List Accent 3" w:uiPriority="61"/>
    <w:lsdException w:name="List Table 2 Accent 2" w:uiPriority="47"/>
    <w:lsdException w:name="List Table 3 Accent 3" w:uiPriority="48"/>
    <w:lsdException w:name="Medium List 1 Accent 3" w:uiPriority="65"/>
    <w:lsdException w:name="Medium List 1 Accent 1" w:uiPriority="65"/>
    <w:lsdException w:name="Grid Table 7 Colorful" w:uiPriority="52"/>
    <w:lsdException w:name="Revision" w:uiPriority="99" w:semiHidden="1"/>
    <w:lsdException w:name="Grid Table 4 Accent 3" w:uiPriority="49"/>
    <w:lsdException w:name="toc 8" w:uiPriority="99"/>
    <w:lsdException w:name="Mention" w:uiPriority="99" w:semiHidden="1" w:unhideWhenUsed="1"/>
    <w:lsdException w:name="Subtitle" w:qFormat="1"/>
    <w:lsdException w:name="List Table 3 Accent 5" w:uiPriority="48"/>
    <w:lsdException w:name="Light Grid Accent 3" w:uiPriority="62"/>
    <w:lsdException w:name="Light Shading Accent 2" w:uiPriority="60"/>
    <w:lsdException w:name="Grid Table 3 Accent 6" w:uiPriority="48"/>
    <w:lsdException w:name="HTML Definition" w:uiPriority="99"/>
    <w:lsdException w:name="Grid Table 6 Colorful Accent 2" w:uiPriority="51"/>
    <w:lsdException w:name="Outline List 2" w:uiPriority="99" w:semiHidden="1" w:unhideWhenUsed="1"/>
    <w:lsdException w:name="toc 9" w:uiPriority="99"/>
    <w:lsdException w:name="Grid Table 1 Light" w:uiPriority="46"/>
    <w:lsdException w:name="toc 2" w:uiPriority="99"/>
    <w:lsdException w:name="Medium List 2 Accent 4" w:uiPriority="66"/>
    <w:lsdException w:name="Table Elegant" w:semiHidden="1" w:unhideWhenUsed="1"/>
    <w:lsdException w:name="List Table 6 Colorful Accent 5" w:uiPriority="51"/>
    <w:lsdException w:name="HTML Sample" w:uiPriority="99"/>
    <w:lsdException w:name="List Table 4 Accent 4" w:uiPriority="49"/>
    <w:lsdException w:name="HTML Typewriter" w:uiPriority="99"/>
    <w:lsdException w:name="Dark List Accent 3" w:uiPriority="70"/>
    <w:lsdException w:name="Colorful Shading Accent 3" w:uiPriority="71"/>
    <w:lsdException w:name="Table Subtle 2" w:semiHidden="1" w:unhideWhenUsed="1"/>
    <w:lsdException w:name="Colorful List Accent 6" w:uiPriority="72"/>
    <w:lsdException w:name="Smart Hyperlink" w:uiPriority="99" w:semiHidden="1" w:unhideWhenUsed="1"/>
    <w:lsdException w:name="Medium Grid 2 Accent 1" w:uiPriority="68"/>
    <w:lsdException w:name="Medium Shading 2 Accent 1" w:uiPriority="64"/>
    <w:lsdException w:name="List Table 1 Light Accent 6" w:uiPriority="46"/>
    <w:lsdException w:name="Grid Table 1 Light Accent 4" w:uiPriority="46"/>
    <w:lsdException w:name="HTML Preformatted" w:uiPriority="99"/>
    <w:lsdException w:name="Light Grid Accent 5" w:uiPriority="62"/>
    <w:lsdException w:name="Outline List 1" w:uiPriority="99" w:semiHidden="1" w:unhideWhenUsed="1"/>
    <w:lsdException w:name="Grid Table 2 Accent 5" w:uiPriority="47"/>
    <w:lsdException w:name="Dark List Accent 2" w:uiPriority="70"/>
    <w:lsdException w:name="Medium Shading 1 Accent 5" w:uiPriority="63"/>
    <w:lsdException w:name="List Table 1 Light Accent 4" w:uiPriority="46"/>
    <w:lsdException w:name="Medium List 1" w:uiPriority="65"/>
    <w:lsdException w:name="Medium Shading 1 Accent 1" w:uiPriority="63"/>
    <w:lsdException w:name="Medium Shading 1 Accent 4" w:uiPriority="63"/>
    <w:lsdException w:name="List Table 4 Accent 2" w:uiPriority="49"/>
    <w:lsdException w:name="Grid Table 2 Accent 1" w:uiPriority="47"/>
    <w:lsdException w:name="heading 2" w:qFormat="1"/>
    <w:lsdException w:name="Medium Shading 2 Accent 3" w:uiPriority="64"/>
    <w:lsdException w:name="Medium Grid 1 Accent 6" w:uiPriority="67"/>
    <w:lsdException w:name="List Table 6 Colorful Accent 1" w:uiPriority="51"/>
    <w:lsdException w:name="Grid Table 4 Accent 6" w:uiPriority="49"/>
    <w:lsdException w:name="HTML Bottom of Form" w:uiPriority="99" w:semiHidden="1" w:unhideWhenUsed="1"/>
    <w:lsdException w:name="Table 3D effects 1" w:semiHidden="1" w:unhideWhenUsed="1"/>
    <w:lsdException w:name="List Table 1 Light Accent 5" w:uiPriority="46"/>
    <w:lsdException w:name="List Table 1 Light Accent 3" w:uiPriority="46"/>
    <w:lsdException w:name="Table Columns 1" w:semiHidden="1" w:unhideWhenUsed="1"/>
    <w:lsdException w:name="Table Columns 3" w:semiHidden="1" w:unhideWhenUsed="1"/>
    <w:lsdException w:name="Colorful Grid Accent 4" w:uiPriority="73"/>
    <w:lsdException w:name="Table Classic 4" w:semiHidden="1" w:unhideWhenUsed="1"/>
    <w:lsdException w:name="Table Columns 2" w:semiHidden="1" w:unhideWhenUsed="1"/>
    <w:lsdException w:name="Title" w:qFormat="1"/>
    <w:lsdException w:name="Table List 4" w:semiHidden="1" w:unhideWhenUsed="1"/>
    <w:lsdException w:name="Medium Shading 1 Accent 2" w:uiPriority="63"/>
    <w:lsdException w:name="Default Paragraph Font" w:uiPriority="1" w:semiHidden="1" w:unhideWhenUsed="1"/>
    <w:lsdException w:name="List Table 2 Accent 1" w:uiPriority="47"/>
    <w:lsdException w:name="Grid Table 4 Accent 5" w:uiPriority="49"/>
    <w:lsdException w:name="Grid Table 5 Dark Accent 3" w:uiPriority="50"/>
    <w:lsdException w:name="heading 7" w:unhideWhenUsed="1" w:qFormat="1"/>
    <w:lsdException w:name="Grid Table 5 Dark Accent 1" w:uiPriority="50"/>
    <w:lsdException w:name="Medium Grid 3 Accent 1" w:uiPriority="69"/>
    <w:lsdException w:name="Light Grid Accent 6" w:uiPriority="62"/>
    <w:lsdException w:name="Table Columns 4" w:semiHidden="1" w:unhideWhenUsed="1"/>
    <w:lsdException w:name="Normal Table" w:uiPriority="99" w:semiHidden="1" w:unhideWhenUsed="1"/>
    <w:lsdException w:name="List Table 4" w:uiPriority="49"/>
    <w:lsdException w:name="List Table 3 Accent 4" w:uiPriority="48"/>
    <w:lsdException w:name="List Table 2 Accent 5" w:uiPriority="47"/>
    <w:lsdException w:name="Medium Grid 2" w:uiPriority="68"/>
    <w:lsdException w:name="No Spacing" w:uiPriority="99"/>
    <w:lsdException w:name="Grid Table 7 Colorful Accent 1" w:uiPriority="52"/>
    <w:lsdException w:name="Table Colorful 3" w:semiHidden="1" w:unhideWhenUsed="1"/>
    <w:lsdException w:name="Grid Table 2 Accent 3" w:uiPriority="47"/>
    <w:lsdException w:name="Medium Shading 2 Accent 6" w:uiPriority="64"/>
    <w:lsdException w:name="Dark List Accent 5" w:uiPriority="70"/>
    <w:lsdException w:name="Grid Table 3 Accent 2" w:uiPriority="48"/>
    <w:lsdException w:name="List Table 3 Accent 2" w:uiPriority="48"/>
    <w:lsdException w:name="Medium Grid 1 Accent 2" w:uiPriority="67"/>
    <w:lsdException w:name="heading 6" w:qFormat="1"/>
    <w:lsdException w:name="Colorful Shading Accent 5" w:uiPriority="71"/>
    <w:lsdException w:name="Colorful Grid Accent 3" w:uiPriority="73"/>
    <w:lsdException w:name="heading 1" w:qFormat="1"/>
    <w:lsdException w:name="List Table 7 Colorful" w:uiPriority="52"/>
    <w:lsdException w:name="footnote reference" w:uiPriority="99" w:semiHidden="1" w:unhideWhenUsed="1"/>
    <w:lsdException w:name="Grid Table 7 Colorful Accent 4" w:uiPriority="52"/>
    <w:lsdException w:name="Colorful Shading Accent 6" w:uiPriority="71"/>
    <w:lsdException w:name="Grid Table 3" w:uiPriority="48"/>
    <w:lsdException w:name="Grid Table 6 Colorful Accent 3" w:uiPriority="51"/>
    <w:lsdException w:name="Intense Quote" w:uiPriority="99"/>
    <w:lsdException w:name="Medium List 2" w:uiPriority="66"/>
    <w:lsdException w:name="List Table 4 Accent 5" w:uiPriority="49"/>
    <w:lsdException w:name="Colorful List Accent 2" w:uiPriority="72"/>
    <w:lsdException w:name="HTML Cite" w:uiPriority="99"/>
    <w:lsdException w:name="Table Web 3" w:semiHidden="1" w:unhideWhenUsed="1"/>
    <w:lsdException w:name="Colorful List Accent 3" w:uiPriority="72"/>
    <w:lsdException w:name="Medium List 2 Accent 2" w:uiPriority="66"/>
    <w:lsdException w:name="Table Web 1" w:semiHidden="1" w:unhideWhenUsed="1"/>
    <w:lsdException w:name="List Table 2" w:uiPriority="47"/>
    <w:lsdException w:name="Table Grid 1" w:semiHidden="1" w:unhideWhenUsed="1"/>
    <w:lsdException w:name="List Table 3 Accent 6" w:uiPriority="48"/>
    <w:lsdException w:name="HTML Address" w:uiPriority="99"/>
    <w:lsdException w:name="Grid Table Light" w:uiPriority="40"/>
    <w:lsdException w:name="Subtle Reference" w:uiPriority="31" w:qFormat="1"/>
    <w:lsdException w:name="Intense Reference" w:uiPriority="32" w:qFormat="1"/>
    <w:lsdException w:name="Table Simple 2" w:semiHidden="1" w:unhideWhenUsed="1"/>
    <w:lsdException w:name="Table Colorful 2" w:semiHidden="1" w:unhideWhenUsed="1"/>
    <w:lsdException w:name="Medium Grid 3 Accent 3" w:uiPriority="69"/>
    <w:lsdException w:name="Colorful Shading Accent 4" w:uiPriority="71"/>
    <w:lsdException w:name="Unresolved Mention" w:uiPriority="99" w:semiHidden="1" w:unhideWhenUsed="1"/>
    <w:lsdException w:name="Light Shading Accent 3" w:uiPriority="60"/>
    <w:lsdException w:name="Hashtag" w:uiPriority="99" w:semiHidden="1" w:unhideWhenUsed="1"/>
    <w:lsdException w:name="Medium Shading 2 Accent 2" w:uiPriority="64"/>
    <w:lsdException w:name="Grid Table 1 Light Accent 1" w:uiPriority="46"/>
    <w:lsdException w:name="List Table 6 Colorful Accent 4" w:uiPriority="51"/>
    <w:lsdException w:name="Grid Table 2 Accent 6" w:uiPriority="47"/>
    <w:lsdException w:name="Medium Grid 1" w:uiPriority="67"/>
    <w:lsdException w:name="HTML Acronym" w:uiPriority="99"/>
    <w:lsdException w:name="Table Contemporary" w:semiHidden="1" w:unhideWhenUsed="1"/>
    <w:lsdException w:name="HTML Code" w:uiPriority="99"/>
    <w:lsdException w:name="Grid Table 4" w:uiPriority="49"/>
    <w:lsdException w:name="Colorful Grid Accent 5" w:uiPriority="73"/>
    <w:lsdException w:name="Medium List 1 Accent 2" w:uiPriority="65"/>
    <w:lsdException w:name="Grid Table 2" w:uiPriority="47"/>
    <w:lsdException w:name="Grid Table 1 Light Accent 2" w:uiPriority="46"/>
    <w:lsdException w:name="toc 5" w:uiPriority="99"/>
    <w:lsdException w:name="heading 9" w:unhideWhenUsed="1" w:qFormat="1"/>
    <w:lsdException w:name="TOC Heading" w:uiPriority="39" w:semiHidden="1" w:unhideWhenUsed="1" w:qFormat="1"/>
    <w:lsdException w:name="List Table 5 Dark Accent 3" w:uiPriority="50"/>
    <w:lsdException w:name="Grid Table 7 Colorful Accent 2" w:uiPriority="52"/>
    <w:lsdException w:name="List Table 1 Light Accent 1" w:uiPriority="46"/>
    <w:lsdException w:name="Grid Table 1 Light Accent 5" w:uiPriority="46"/>
    <w:lsdException w:name="List Table 4 Accent 1" w:uiPriority="49"/>
    <w:lsdException w:name="Grid Table 5 Dark Accent 5" w:uiPriority="50"/>
    <w:lsdException w:name="Grid Table 6 Colorful Accent 1" w:uiPriority="51"/>
    <w:lsdException w:name="List Table 3" w:uiPriority="48"/>
    <w:lsdException w:name="Table List 7" w:semiHidden="1" w:unhideWhenUsed="1"/>
    <w:lsdException w:name="Medium List 1 Accent 6" w:uiPriority="65"/>
    <w:lsdException w:name="toc 4" w:uiPriority="99"/>
    <w:lsdException w:name="Colorful Grid Accent 1" w:uiPriority="73"/>
    <w:lsdException w:name="List Table 7 Colorful Accent 1" w:uiPriority="52"/>
    <w:lsdException w:name="Table Simple 3" w:semiHidden="1" w:unhideWhenUsed="1"/>
    <w:lsdException w:name="Medium List 1 Accent 4" w:uiPriority="65"/>
    <w:lsdException w:name="Smart Link" w:uiPriority="99" w:semiHidden="1" w:unhideWhenUsed="1"/>
    <w:lsdException w:name="Grid Table 7 Colorful Accent 6" w:uiPriority="52"/>
    <w:lsdException w:name="Medium List 1 Accent 5" w:uiPriority="65"/>
    <w:lsdException w:name="List Table 7 Colorful Accent 2" w:uiPriority="52"/>
    <w:lsdException w:name="Table Colorful 1" w:semiHidden="1" w:unhideWhenUsed="1"/>
    <w:lsdException w:name="Table Classic 2" w:semiHidden="1" w:unhideWhenUsed="1"/>
    <w:lsdException w:name="HTML Keyboard" w:uiPriority="99"/>
    <w:lsdException w:name="Table Grid 7" w:semiHidden="1" w:unhideWhenUsed="1"/>
    <w:lsdException w:name="Table List 6" w:semiHidden="1" w:unhideWhenUsed="1"/>
    <w:lsdException w:name="Grid Table 6 Colorful" w:uiPriority="51"/>
    <w:lsdException w:name="Outline List 3" w:uiPriority="99" w:semiHidden="1" w:unhideWhenUsed="1"/>
    <w:lsdException w:name="Table 3D effects 3" w:semiHidden="1" w:unhideWhenUsed="1"/>
    <w:lsdException w:name="Light List Accent 6" w:uiPriority="61"/>
    <w:lsdException w:name="List Table 5 Dark" w:uiPriority="50"/>
    <w:lsdException w:name="Dark List Accent 1" w:uiPriority="70"/>
    <w:lsdException w:name="Medium Grid 3 Accent 5" w:uiPriority="69"/>
    <w:lsdException w:name="Grid Table 3 Accent 1" w:uiPriority="48"/>
    <w:lsdException w:name="heading 8" w:unhideWhenUsed="1" w:qFormat="1"/>
    <w:lsdException w:name="Colorful Grid" w:uiPriority="73"/>
    <w:lsdException w:name="Table List 5" w:semiHidden="1" w:unhideWhenUsed="1"/>
    <w:lsdException w:name="Bibliography" w:uiPriority="37" w:semiHidden="1" w:unhideWhenUsed="1"/>
    <w:lsdException w:name="Plain Table 4" w:uiPriority="44"/>
    <w:lsdException w:name="List Table 1 Light Accent 2" w:uiPriority="46"/>
    <w:lsdException w:name="Medium Grid 3 Accent 4" w:uiPriority="69"/>
  </w:latentStyles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5">
    <w:name w:val="Hyperlink"/>
    <w:basedOn w:val="00000b"/>
    <w:rPr>
      <w:color w:val="1E6FFF"/>
      <w:u w:val="single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6.png" /><Relationship Id="rId8" Type="http://schemas.openxmlformats.org/officeDocument/2006/relationships/image" Target="media/image5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7" Type="http://schemas.openxmlformats.org/officeDocument/2006/relationships/image" Target="media/image4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1" Type="http://schemas.openxmlformats.org/officeDocument/2006/relationships/image" Target="media/image8.png" /><Relationship Id="rId10" Type="http://schemas.openxmlformats.org/officeDocument/2006/relationships/image" Target="media/image7.png" /><Relationship Id="rId12" Type="http://schemas.openxmlformats.org/officeDocument/2006/relationships/image" Target="media/image9.png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2026-09-05T18:18:28Z</dcterms:created>
  <dcterms:modified xsi:type="dcterms:W3CDTF">2026-09-05T18:18:28Z</dcterms:modified>
</cp:coreProperties>
</file>