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line="300"/>
      </w:pPr>
      <w:r>
        <w:rPr>
          <w:rFonts w:ascii="等线" w:cs="等线" w:eastAsia="等线" w:hAnsi="等线"/>
          <w:b w:val="false"/>
          <w:bCs w:val="false"/>
          <w:sz w:val="21"/>
          <w:szCs w:val="21"/>
        </w:rPr>
        <w:t xml:space="preserve">表6-3 Spark MLlib 智能预测模块测试用例</w:t>
      </w:r>
    </w:p>
    <w:p>
      <w:pPr>
        <w:spacing w:after="160" w:line="300"/>
      </w:pPr>
      <w:r>
        <w:rPr>
          <w:rFonts w:ascii="等线" w:cs="等线" w:eastAsia="等线" w:hAnsi="等线"/>
          <w:b w:val="false"/>
          <w:bCs w:val="false"/>
          <w:sz w:val="21"/>
          <w:szCs w:val="21"/>
        </w:rPr>
        <w:t xml:space="preserve">本表使用黑盒测试方法，对本组的 Spark MLlib 智能预测模块进行测试，包括特征时间语义、小时缺口防护、模型训练与基线对比、预测派生口径（高峰标记与物理约束）以及 ADS 交接包契约。主要检查行偏移特征在存在缺失小时时是否仍等价于时间偏移、预测结果是否满足物理守恒、交接包字段能否被 ADS/Flask 直接消费，并通过注入缺口与真实批次两种数据的对照，保证异常情况被显式标记而不是静默产出错误结果。如表6-3所示</w:t>
      </w:r>
    </w:p>
    <w:tbl>
      <w:tblPr>
        <w:tblW w:type="dxa" w:w="822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"/>
        <w:gridCol w:w="1039"/>
        <w:gridCol w:w="1060"/>
        <w:gridCol w:w="1752"/>
        <w:gridCol w:w="1369"/>
        <w:gridCol w:w="1287"/>
        <w:gridCol w:w="888"/>
      </w:tblGrid>
      <w:tr>
        <w:tc>
          <w:tcPr>
            <w:tcW w:type="dxa" w:w="825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编号</w:t>
            </w:r>
          </w:p>
        </w:tc>
        <w:tc>
          <w:tcPr>
            <w:tcW w:type="dxa" w:w="1039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测试模块</w:t>
            </w:r>
          </w:p>
        </w:tc>
        <w:tc>
          <w:tcPr>
            <w:tcW w:type="dxa" w:w="1060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测试操作</w:t>
            </w:r>
          </w:p>
        </w:tc>
        <w:tc>
          <w:tcPr>
            <w:tcW w:type="dxa" w:w="1752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测试步骤</w:t>
            </w:r>
          </w:p>
        </w:tc>
        <w:tc>
          <w:tcPr>
            <w:tcW w:type="dxa" w:w="1369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预期结果</w:t>
            </w:r>
          </w:p>
        </w:tc>
        <w:tc>
          <w:tcPr>
            <w:tcW w:type="dxa" w:w="1287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实际结果</w:t>
            </w:r>
          </w:p>
        </w:tc>
        <w:tc>
          <w:tcPr>
            <w:tcW w:type="dxa" w:w="888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测试状态</w:t>
            </w:r>
          </w:p>
        </w:tc>
      </w:tr>
      <w:tr>
        <w:tc>
          <w:tcPr>
            <w:tcW w:type="dxa" w:w="825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1</w:t>
            </w:r>
          </w:p>
        </w:tc>
        <w:tc>
          <w:tcPr>
            <w:tcW w:type="dxa" w:w="1039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特征工程</w:t>
            </w:r>
          </w:p>
          <w:p>
            <w:pPr>
              <w:spacing w:before="2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（缺口防护）</w:t>
            </w:r>
          </w:p>
        </w:tc>
        <w:tc>
          <w:tcPr>
            <w:tcW w:type="dxa" w:w="1060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缺失小时下特征与标签不错位</w:t>
            </w:r>
          </w:p>
        </w:tc>
        <w:tc>
          <w:tcPr>
            <w:tcW w:type="dxa" w:w="1752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构造缺失 02:00 的 4 行小时序列；分别在对齐前后计算 lag_1h 与标签 y_load_h1。</w:t>
            </w:r>
          </w:p>
        </w:tc>
        <w:tc>
          <w:tcPr>
            <w:tcW w:type="dxa" w:w="1369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对齐前跨过缺口取值（错位）；对齐后缺口行事实列为 NULL，不可用值在训练时被丢弃。</w:t>
            </w:r>
          </w:p>
        </w:tc>
        <w:tc>
          <w:tcPr>
            <w:tcW w:type="dxa" w:w="1287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对齐前 lag_1h(03:00)=2.0、y_load_h1(01:00)=4.0；对齐后均为 None。真实批次 raw=15120（原始 15073，缺 47）。</w:t>
            </w:r>
          </w:p>
        </w:tc>
        <w:tc>
          <w:tcPr>
            <w:tcW w:type="dxa" w:w="888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825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2</w:t>
            </w:r>
          </w:p>
        </w:tc>
        <w:tc>
          <w:tcPr>
            <w:tcW w:type="dxa" w:w="1039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模型训练</w:t>
            </w:r>
          </w:p>
          <w:p>
            <w:pPr>
              <w:spacing w:before="2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与评估</w:t>
            </w:r>
          </w:p>
        </w:tc>
        <w:tc>
          <w:tcPr>
            <w:tcW w:type="dxa" w:w="1060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精度须优于 seasonal-naive 基线</w:t>
            </w:r>
          </w:p>
        </w:tc>
        <w:tc>
          <w:tcPr>
            <w:tcW w:type="dxa" w:w="1752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以真实 DWD 按时间序 70/15/15 切分；对 horizon 1–24 训练 GBT，1/6/24 加 RF 对照；计算 MAE/RMSE/WAPE 并与基线比较。</w:t>
            </w:r>
          </w:p>
        </w:tc>
        <w:tc>
          <w:tcPr>
            <w:tcW w:type="dxa" w:w="1369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各步长取验证集 MAE 最优模型；不优于基线则标记 naive 降级。</w:t>
            </w:r>
          </w:p>
        </w:tc>
        <w:tc>
          <w:tcPr>
            <w:tcW w:type="dxa" w:w="1287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24 个步长全选 GBT。负荷 MAE 1h/6h/24h = 48.60/47.13/50.82，基线 79.32/79.35/80.63；WAPE 8.56%/8.32%/8.96% 对 13.93%/13.96%/14.17%；24/24 优于基线（YARN _0020）。</w:t>
            </w:r>
          </w:p>
        </w:tc>
        <w:tc>
          <w:tcPr>
            <w:tcW w:type="dxa" w:w="888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825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3</w:t>
            </w:r>
          </w:p>
        </w:tc>
        <w:tc>
          <w:tcPr>
            <w:tcW w:type="dxa" w:w="1039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预测派生口径</w:t>
            </w:r>
          </w:p>
        </w:tc>
        <w:tc>
          <w:tcPr>
            <w:tcW w:type="dxa" w:w="1060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高峰须为连续两小时且不含尾部单点</w:t>
            </w:r>
          </w:p>
        </w:tc>
        <w:tc>
          <w:tcPr>
            <w:tcW w:type="dxa" w:w="1752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构造 [1,9,9,1] 与 [5,5,0,9] 两组负荷；调用 mark_peak_hours 标记；再核对真实预测的高峰行数。</w:t>
            </w:r>
          </w:p>
        </w:tc>
        <w:tc>
          <w:tcPr>
            <w:tcW w:type="dxa" w:w="1369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每站只标记唯一的最佳完整两小时窗口；末端单点不构成窗口，不得选中。</w:t>
            </w:r>
          </w:p>
        </w:tc>
        <w:tc>
          <w:tcPr>
            <w:tcW w:type="dxa" w:w="1287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站点 1 标记 [2,3]、站点 2 标记 [1,2]（末端单点 9 未被误选）；真实批次 is_peak=10（5 站×2）。</w:t>
            </w:r>
          </w:p>
        </w:tc>
        <w:tc>
          <w:tcPr>
            <w:tcW w:type="dxa" w:w="888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825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4</w:t>
            </w:r>
          </w:p>
        </w:tc>
        <w:tc>
          <w:tcPr>
            <w:tcW w:type="dxa" w:w="1039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预测物理约束</w:t>
            </w:r>
          </w:p>
        </w:tc>
        <w:tc>
          <w:tcPr>
            <w:tcW w:type="dxa" w:w="1060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非负、占用守恒与负荷一致</w:t>
            </w:r>
          </w:p>
        </w:tc>
        <w:tc>
          <w:tcPr>
            <w:tcW w:type="dxa" w:w="1752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生成未来 24h × 5 站预测；占用整数化并裁剪到 [0, pile_count]；负荷按占用锚定；统计违规行数。</w:t>
            </w:r>
          </w:p>
        </w:tc>
        <w:tc>
          <w:tcPr>
            <w:tcW w:type="dxa" w:w="1369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负荷与占用非负；占用不超总桩数；idle = pile − busy 恒等；负荷与占用状态一致。</w:t>
            </w:r>
          </w:p>
        </w:tc>
        <w:tc>
          <w:tcPr>
            <w:tcW w:type="dxa" w:w="1287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rows=120、is_peak=10、zero_load=0、busy/load 不一致行=0；拥堵分级 high 13 / medium 49 / low 58。</w:t>
            </w:r>
          </w:p>
        </w:tc>
        <w:tc>
          <w:tcPr>
            <w:tcW w:type="dxa" w:w="888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825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5</w:t>
            </w:r>
          </w:p>
        </w:tc>
        <w:tc>
          <w:tcPr>
            <w:tcW w:type="dxa" w:w="1039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ADS 交接包契约</w:t>
            </w:r>
          </w:p>
        </w:tc>
        <w:tc>
          <w:tcPr>
            <w:tcW w:type="dxa" w:w="1060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交接包可被 ADS/Flask 直接消费</w:t>
            </w:r>
          </w:p>
        </w:tc>
        <w:tc>
          <w:tcPr>
            <w:tcW w:type="dxa" w:w="1752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执行 publish.py 导出交接包；用 check_db.py 做契约自检；以 --forecast-handoff 合并进最终 ADS 并核对批次标识。</w:t>
            </w:r>
          </w:p>
        </w:tc>
        <w:tc>
          <w:tcPr>
            <w:tcW w:type="dxa" w:w="1369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批次唯一、run_id 非空、horizon 覆盖 1–24、站点集合与 forecast_enabled 一致；合并后 is_baseline=0。</w:t>
            </w:r>
          </w:p>
        </w:tc>
        <w:tc>
          <w:tcPr>
            <w:tcW w:type="dxa" w:w="1287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rows=120、distinct station=5、horizon range=(1,24)、wape&lt;baseline_wape 24/24；manifest run_id=f-20260915-165742、is_baseline=0；最终 ads.db 三表 120/1/24 行。</w:t>
            </w:r>
          </w:p>
        </w:tc>
        <w:tc>
          <w:tcPr>
            <w:tcW w:type="dxa" w:w="888"/>
            <w:tcBorders>
              <w:top w:val="single" w:color="auto" w:sz="12"/>
              <w:left w:val="nil" w:color="auto" w:sz="0"/>
              <w:bottom w:val="single" w:color="auto" w:sz="4"/>
              <w:right w:val="nil" w:color="auto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line="240"/>
            </w:pPr>
            <w:r>
              <w:rPr>
                <w:rFonts w:ascii="等线" w:cs="等线" w:eastAsia="等线" w:hAnsi="等线"/>
                <w:sz w:val="18"/>
                <w:szCs w:val="18"/>
              </w:rPr>
              <w:t xml:space="preserve">通过</w:t>
            </w:r>
          </w:p>
        </w:tc>
      </w:tr>
    </w:tbl>
    <w:p>
      <w:pPr>
        <w:spacing w:after="80" w:line="300"/>
      </w:pPr>
      <w:r>
        <w:rPr>
          <w:rFonts w:ascii="等线" w:cs="等线" w:eastAsia="等线" w:hAnsi="等线"/>
          <w:b/>
          <w:bCs/>
          <w:sz w:val="18"/>
          <w:szCs w:val="18"/>
        </w:rPr>
        <w:t xml:space="preserve">说明：</w:t>
      </w:r>
    </w:p>
    <w:p>
      <w:pPr>
        <w:spacing w:after="60" w:line="300"/>
      </w:pPr>
      <w:r>
        <w:rPr>
          <w:rFonts w:ascii="等线" w:cs="等线" w:eastAsia="等线" w:hAnsi="等线"/>
          <w:b w:val="false"/>
          <w:bCs w:val="false"/>
          <w:sz w:val="18"/>
          <w:szCs w:val="18"/>
        </w:rPr>
        <w:t xml:space="preserve">1. 用例来源：编号1对应 part2/ml/tests/test_grid_align.py；编号2对应训练产出的 metrics.json 与 YARN 记录；编号3对应 part2/ml/tests/test_ml_contract.py；编号4对应 part2/ml/tests/test_merge_ads.py 与预测日志；编号5对应 tmp/check_db.py、handoff/forecast/manifest.json 与最终 ads.db。</w:t>
      </w:r>
    </w:p>
    <w:p>
      <w:pPr>
        <w:spacing w:after="60" w:line="300"/>
      </w:pPr>
      <w:r>
        <w:rPr>
          <w:rFonts w:ascii="等线" w:cs="等线" w:eastAsia="等线" w:hAnsi="等线"/>
          <w:b w:val="false"/>
          <w:bCs w:val="false"/>
          <w:sz w:val="18"/>
          <w:szCs w:val="18"/>
        </w:rPr>
        <w:t xml:space="preserve">2. 对照数据：另用 tmp/make_gapped.py 注入 6 个缺口（站点1连续3小时 + 3个散点），ml/verify_coverage.py 核验结果为 missing=6 / row_offset_safe=false，与注入完全一致；连续数据上为 missing=0 / row_offset_safe=true。</w:t>
      </w:r>
    </w:p>
    <w:p>
      <w:pPr>
        <w:spacing w:after="0" w:line="300"/>
      </w:pPr>
      <w:r>
        <w:rPr>
          <w:rFonts w:ascii="等线" w:cs="等线" w:eastAsia="等线" w:hAnsi="等线"/>
          <w:b w:val="false"/>
          <w:bCs w:val="false"/>
          <w:sz w:val="18"/>
          <w:szCs w:val="18"/>
        </w:rPr>
        <w:t xml:space="preserve">3. 运行环境：Ubuntu 22.04.5 LTS / JDK 17.0.20.1 / Hadoop 3.4.1 / Spark 3.5.7（伪分布式 YARN）；测试数据为真实 PRL 清洗产物 dwd_station_hourly（7站 / 15073行 / 含47个缺失小时）。复现命令见 part2/ml/MODEL_REPORT.md §10 与 §12。</w:t>
      </w: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等线" w:cs="等线" w:eastAsia="等线" w:hAnsi="等线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2026-09-15T10:29:22.244Z</dcterms:created>
  <dcterms:modified xsi:type="dcterms:W3CDTF">2026-09-15T10:29:22.247Z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