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p>
    <w:p>
      <w:pPr>
        <w:spacing w:after="200"/>
        <w:jc w:val="center"/>
      </w:pPr>
      <w:r>
        <w:rPr>
          <w:rFonts w:ascii="Times New Roman" w:cs="Times New Roman" w:eastAsia="Times New Roman" w:hAnsi="Times New Roman"/>
          <w:b/>
          <w:bCs/>
          <w:color w:val="8B0000"/>
          <w:sz w:val="28"/>
          <w:szCs w:val="28"/>
        </w:rPr>
        <w:t xml:space="preserve">CONFIDENTIAL</w:t>
      </w:r>
    </w:p>
    <w:p>
      <w:pPr>
        <w:spacing w:after="600"/>
        <w:jc w:val="center"/>
      </w:pPr>
      <w:r>
        <w:rPr>
          <w:rFonts w:ascii="Times New Roman" w:cs="Times New Roman" w:eastAsia="Times New Roman" w:hAnsi="Times New Roman"/>
          <w:b/>
          <w:bCs/>
          <w:sz w:val="32"/>
          <w:szCs w:val="32"/>
        </w:rPr>
        <w:t xml:space="preserve">AMENDED AND RESTATED</w:t>
      </w:r>
    </w:p>
    <w:p>
      <w:pPr>
        <w:spacing w:after="200"/>
        <w:jc w:val="center"/>
      </w:pPr>
      <w:r>
        <w:rPr>
          <w:rFonts w:ascii="Times New Roman" w:cs="Times New Roman" w:eastAsia="Times New Roman" w:hAnsi="Times New Roman"/>
          <w:b/>
          <w:bCs/>
          <w:sz w:val="36"/>
          <w:szCs w:val="36"/>
        </w:rPr>
        <w:t xml:space="preserve">EXEMPTED LIMITED PARTNERSHIP AGREEMENT</w:t>
      </w:r>
    </w:p>
    <w:p>
      <w:pPr>
        <w:spacing w:after="200"/>
        <w:jc w:val="center"/>
      </w:pPr>
      <w:r>
        <w:rPr>
          <w:rFonts w:ascii="Times New Roman" w:cs="Times New Roman" w:eastAsia="Times New Roman" w:hAnsi="Times New Roman"/>
          <w:sz w:val="28"/>
          <w:szCs w:val="28"/>
        </w:rPr>
        <w:t xml:space="preserve">OF</w:t>
      </w:r>
    </w:p>
    <w:p>
      <w:pPr>
        <w:spacing w:after="600"/>
        <w:jc w:val="center"/>
      </w:pPr>
      <w:r>
        <w:rPr>
          <w:rFonts w:ascii="Times New Roman" w:cs="Times New Roman" w:eastAsia="Times New Roman" w:hAnsi="Times New Roman"/>
          <w:b/>
          <w:bCs/>
          <w:sz w:val="36"/>
          <w:szCs w:val="36"/>
        </w:rPr>
        <w:t xml:space="preserve">HUSHH ALPHA ALOHA FUND A, LP</w:t>
      </w:r>
    </w:p>
    <w:p>
      <w:pPr>
        <w:spacing w:after="200"/>
        <w:jc w:val="center"/>
      </w:pPr>
      <w:r>
        <w:rPr>
          <w:rFonts w:ascii="Times New Roman" w:cs="Times New Roman" w:eastAsia="Times New Roman" w:hAnsi="Times New Roman"/>
          <w:i/>
          <w:iCs/>
          <w:sz w:val="24"/>
          <w:szCs w:val="24"/>
        </w:rPr>
        <w:t xml:space="preserve">(A Cayman Islands Exempted Limited Partnership)</w:t>
      </w:r>
    </w:p>
    <w:p>
      <w:pPr>
        <w:spacing w:after="800"/>
        <w:jc w:val="center"/>
      </w:pPr>
      <w:r>
        <w:rPr>
          <w:rFonts w:ascii="Times New Roman" w:cs="Times New Roman" w:eastAsia="Times New Roman" w:hAnsi="Times New Roman"/>
          <w:b/>
          <w:bCs/>
          <w:color w:val="1a3c6e"/>
          <w:sz w:val="28"/>
          <w:szCs w:val="28"/>
        </w:rPr>
        <w:t xml:space="preserve">MASTER FUND</w:t>
      </w:r>
    </w:p>
    <w:p>
      <w:pPr>
        <w:spacing w:after="200"/>
        <w:jc w:val="center"/>
      </w:pPr>
      <w:r>
        <w:rPr>
          <w:rFonts w:ascii="Times New Roman" w:cs="Times New Roman" w:eastAsia="Times New Roman" w:hAnsi="Times New Roman"/>
          <w:sz w:val="24"/>
          <w:szCs w:val="24"/>
        </w:rPr>
        <w:t xml:space="preserve">Dated as of [________], 2026</w:t>
      </w:r>
    </w:p>
    <w:p>
      <w:pPr>
        <w:spacing w:before="2000"/>
        <w:jc w:val="center"/>
      </w:pPr>
      <w:r>
        <w:rPr>
          <w:rFonts w:ascii="Times New Roman" w:cs="Times New Roman" w:eastAsia="Times New Roman" w:hAnsi="Times New Roman"/>
          <w:b/>
          <w:bCs/>
          <w:sz w:val="22"/>
          <w:szCs w:val="22"/>
        </w:rPr>
        <w:t xml:space="preserve">General Partner:</w:t>
      </w:r>
    </w:p>
    <w:p>
      <w:pPr>
        <w:spacing w:after="200"/>
        <w:jc w:val="center"/>
      </w:pPr>
      <w:r>
        <w:rPr>
          <w:rFonts w:ascii="Times New Roman" w:cs="Times New Roman" w:eastAsia="Times New Roman" w:hAnsi="Times New Roman"/>
          <w:sz w:val="24"/>
          <w:szCs w:val="24"/>
        </w:rPr>
        <w:t xml:space="preserve">Hushh Technologies Middle East LLC</w:t>
      </w:r>
    </w:p>
    <w:p>
      <w:pPr>
        <w:jc w:val="center"/>
      </w:pPr>
      <w:r>
        <w:rPr>
          <w:rFonts w:ascii="Times New Roman" w:cs="Times New Roman" w:eastAsia="Times New Roman" w:hAnsi="Times New Roman"/>
          <w:i/>
          <w:iCs/>
          <w:sz w:val="20"/>
          <w:szCs w:val="20"/>
        </w:rPr>
        <w:t xml:space="preserve">(An ADGM-Registered Limited Liability Company)</w:t>
      </w:r>
    </w:p>
    <w:p>
      <w:pPr>
        <w:spacing w:before="1200"/>
        <w:jc w:val="center"/>
      </w:pPr>
      <w:r>
        <w:rPr>
          <w:rFonts w:ascii="Times New Roman" w:cs="Times New Roman" w:eastAsia="Times New Roman" w:hAnsi="Times New Roman"/>
          <w:sz w:val="20"/>
          <w:szCs w:val="20"/>
        </w:rPr>
        <w:t xml:space="preserve">Legal Counsel: McDermott Will &amp; Emery LLP</w:t>
      </w:r>
    </w:p>
    <w:p>
      <w:pPr>
        <w:jc w:val="center"/>
      </w:pPr>
      <w:r>
        <w:rPr>
          <w:rFonts w:ascii="Times New Roman" w:cs="Times New Roman" w:eastAsia="Times New Roman" w:hAnsi="Times New Roman"/>
          <w:i/>
          <w:iCs/>
          <w:sz w:val="20"/>
          <w:szCs w:val="20"/>
        </w:rPr>
        <w:t xml:space="preserve">Stephanie R. Breslow, Partner</w:t>
      </w:r>
    </w:p>
    <w:p>
      <w:pPr>
        <w:spacing w:before="800"/>
        <w:jc w:val="center"/>
      </w:pPr>
      <w:r>
        <w:rPr>
          <w:rFonts w:ascii="Times New Roman" w:cs="Times New Roman" w:eastAsia="Times New Roman" w:hAnsi="Times New Roman"/>
          <w:color w:val="8B0000"/>
          <w:sz w:val="18"/>
          <w:szCs w:val="18"/>
        </w:rPr>
        <w:t xml:space="preserve">THIS AGREEMENT IS CONFIDENTIAL AND PROPRIETARY.</w:t>
      </w:r>
    </w:p>
    <w:p>
      <w:pPr>
        <w:jc w:val="center"/>
      </w:pPr>
      <w:r>
        <w:rPr>
          <w:rFonts w:ascii="Times New Roman" w:cs="Times New Roman" w:eastAsia="Times New Roman" w:hAnsi="Times New Roman"/>
          <w:color w:val="8B0000"/>
          <w:sz w:val="18"/>
          <w:szCs w:val="18"/>
        </w:rPr>
        <w:t xml:space="preserve">DISTRIBUTION IS RESTRICTED TO QUALIFIED ELIGIBLE PARTICIPANTS AND THEIR ADVISORS.</w:t>
      </w:r>
    </w:p>
    <w:p>
      <w:r>
        <w:br w:type="page"/>
      </w:r>
    </w:p>
    <w:p>
      <w:pPr>
        <w:pStyle w:val="Heading1"/>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ARTICLE I: DEFINITIONS AND INTERPRETATION</w:t>
      </w:r>
    </w:p>
    <w:p>
      <w:pPr>
        <w:spacing w:after="200"/>
        <w:jc w:val="both"/>
      </w:pPr>
      <w:r>
        <w:rPr>
          <w:rFonts w:ascii="Times New Roman" w:cs="Times New Roman" w:eastAsia="Times New Roman" w:hAnsi="Times New Roman"/>
          <w:b/>
          <w:bCs/>
          <w:sz w:val="24"/>
          <w:szCs w:val="24"/>
        </w:rPr>
        <w:t xml:space="preserve">Section 1.1. Definitions. As used in this Agreement, the following terms shall have the meanings set forth below:</w:t>
      </w:r>
    </w:p>
    <w:p>
      <w:pPr>
        <w:spacing w:after="200"/>
        <w:ind w:left="720"/>
        <w:jc w:val="both"/>
      </w:pPr>
      <w:r>
        <w:rPr>
          <w:rFonts w:ascii="Times New Roman" w:cs="Times New Roman" w:eastAsia="Times New Roman" w:hAnsi="Times New Roman"/>
          <w:sz w:val="24"/>
          <w:szCs w:val="24"/>
        </w:rPr>
        <w:t xml:space="preserve">"Aces" means the Tier 1 holdings within the Alpha Bets 27 Portfolio consisting of the highest absolute free cash flow generating businesses globally, each generating in excess of Fifty Billion Dollars ($50,000,000,000) in trailing twelve-month free cash flow (or net income for Financial Sector Holdings), as determined by the General Partner in its sole discretion.</w:t>
      </w:r>
    </w:p>
    <w:p>
      <w:pPr>
        <w:spacing w:after="200"/>
        <w:ind w:left="720"/>
        <w:jc w:val="both"/>
      </w:pPr>
      <w:r>
        <w:rPr>
          <w:rFonts w:ascii="Times New Roman" w:cs="Times New Roman" w:eastAsia="Times New Roman" w:hAnsi="Times New Roman"/>
          <w:sz w:val="24"/>
          <w:szCs w:val="24"/>
        </w:rPr>
        <w:t xml:space="preserve">"ADGM" means the Abu Dhabi Global Market, an international financial center located in Abu Dhabi, United Arab Emirates.</w:t>
      </w:r>
    </w:p>
    <w:p>
      <w:pPr>
        <w:spacing w:after="200"/>
        <w:ind w:left="720"/>
        <w:jc w:val="both"/>
      </w:pPr>
      <w:r>
        <w:rPr>
          <w:rFonts w:ascii="Times New Roman" w:cs="Times New Roman" w:eastAsia="Times New Roman" w:hAnsi="Times New Roman"/>
          <w:sz w:val="24"/>
          <w:szCs w:val="24"/>
        </w:rPr>
        <w:t xml:space="preserve">"Adjusted NAV" means, with respect to any Class of Interests, the Net Asset Value of such Class as of the applicable Valuation Date, after deducting all accrued but unpaid Management Fees, Performance Allocations, organizational expenses, and operating expenses attributable to such Class.</w:t>
      </w:r>
    </w:p>
    <w:p>
      <w:pPr>
        <w:spacing w:after="200"/>
        <w:ind w:left="720"/>
        <w:jc w:val="both"/>
      </w:pPr>
      <w:r>
        <w:rPr>
          <w:rFonts w:ascii="Times New Roman" w:cs="Times New Roman" w:eastAsia="Times New Roman" w:hAnsi="Times New Roman"/>
          <w:sz w:val="24"/>
          <w:szCs w:val="24"/>
        </w:rPr>
        <w:t xml:space="preserve">"Affiliate"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after="200"/>
        <w:ind w:left="720"/>
        <w:jc w:val="both"/>
      </w:pPr>
      <w:r>
        <w:rPr>
          <w:rFonts w:ascii="Times New Roman" w:cs="Times New Roman" w:eastAsia="Times New Roman" w:hAnsi="Times New Roman"/>
          <w:sz w:val="24"/>
          <w:szCs w:val="24"/>
        </w:rPr>
        <w:t xml:space="preserve">"Agreement" means this Amended and Restated Exempted Limited Partnership Agreement, as the same may be amended, modified, supplemented, or restated from time to time in accordance with the terms hereof.</w:t>
      </w:r>
    </w:p>
    <w:p>
      <w:pPr>
        <w:spacing w:after="200"/>
        <w:ind w:left="720"/>
        <w:jc w:val="both"/>
      </w:pPr>
      <w:r>
        <w:rPr>
          <w:rFonts w:ascii="Times New Roman" w:cs="Times New Roman" w:eastAsia="Times New Roman" w:hAnsi="Times New Roman"/>
          <w:sz w:val="24"/>
          <w:szCs w:val="24"/>
        </w:rPr>
        <w:t xml:space="preserve">"Alpha Bets 27 Portfolio" or "Alpha Bets" means the concentrated equity portfolio of up to twenty-seven (27) positions in the world's highest absolute free cash flow generating businesses, organized into four tiers: Aces, Kings, Queens, and Jacks, as more fully described in Schedule A hereto.</w:t>
      </w:r>
    </w:p>
    <w:p>
      <w:pPr>
        <w:spacing w:after="200"/>
        <w:ind w:left="720"/>
        <w:jc w:val="both"/>
      </w:pPr>
      <w:r>
        <w:rPr>
          <w:rFonts w:ascii="Times New Roman" w:cs="Times New Roman" w:eastAsia="Times New Roman" w:hAnsi="Times New Roman"/>
          <w:sz w:val="24"/>
          <w:szCs w:val="24"/>
        </w:rPr>
        <w:t xml:space="preserve">"BBA" means the Bipartisan Budget Act of 2015, including all subsequent amendments and related Treasury Regulations.</w:t>
      </w:r>
    </w:p>
    <w:p>
      <w:pPr>
        <w:spacing w:after="200"/>
        <w:ind w:left="720"/>
        <w:jc w:val="both"/>
      </w:pPr>
      <w:r>
        <w:rPr>
          <w:rFonts w:ascii="Times New Roman" w:cs="Times New Roman" w:eastAsia="Times New Roman" w:hAnsi="Times New Roman"/>
          <w:sz w:val="24"/>
          <w:szCs w:val="24"/>
        </w:rPr>
        <w:t xml:space="preserve">"Capital Account" means, with respect to each Partner, the account maintained for such Partner in accordance with the provisions of Section 5.3 and the applicable Treasury Regulations.</w:t>
      </w:r>
    </w:p>
    <w:p>
      <w:pPr>
        <w:spacing w:after="200"/>
        <w:ind w:left="720"/>
        <w:jc w:val="both"/>
      </w:pPr>
      <w:r>
        <w:rPr>
          <w:rFonts w:ascii="Times New Roman" w:cs="Times New Roman" w:eastAsia="Times New Roman" w:hAnsi="Times New Roman"/>
          <w:sz w:val="24"/>
          <w:szCs w:val="24"/>
        </w:rPr>
        <w:t xml:space="preserve">"Cayman ELPA" means the Exempted Limited Partnerships Act (As Revised) of the Cayman Islands.</w:t>
      </w:r>
    </w:p>
    <w:p>
      <w:pPr>
        <w:spacing w:after="200"/>
        <w:ind w:left="720"/>
        <w:jc w:val="both"/>
      </w:pPr>
      <w:r>
        <w:rPr>
          <w:rFonts w:ascii="Times New Roman" w:cs="Times New Roman" w:eastAsia="Times New Roman" w:hAnsi="Times New Roman"/>
          <w:sz w:val="24"/>
          <w:szCs w:val="24"/>
        </w:rPr>
        <w:t xml:space="preserve">"Class" means any class of Limited Partnership Interests established pursuant to Article III, including Class A Interests, Class B Interests, Class C Interests, Class I Interests, Class S Interests, and Class F Interests.</w:t>
      </w:r>
    </w:p>
    <w:p>
      <w:pPr>
        <w:spacing w:after="200"/>
        <w:ind w:left="720"/>
        <w:jc w:val="both"/>
      </w:pPr>
      <w:r>
        <w:rPr>
          <w:rFonts w:ascii="Times New Roman" w:cs="Times New Roman" w:eastAsia="Times New Roman" w:hAnsi="Times New Roman"/>
          <w:sz w:val="24"/>
          <w:szCs w:val="24"/>
        </w:rPr>
        <w:t xml:space="preserve">"Code" means the United States Internal Revenue Code of 1986, as amended from time to time, and any successor statute.</w:t>
      </w:r>
    </w:p>
    <w:p>
      <w:pPr>
        <w:spacing w:after="200"/>
        <w:ind w:left="720"/>
        <w:jc w:val="both"/>
      </w:pPr>
      <w:r>
        <w:rPr>
          <w:rFonts w:ascii="Times New Roman" w:cs="Times New Roman" w:eastAsia="Times New Roman" w:hAnsi="Times New Roman"/>
          <w:sz w:val="24"/>
          <w:szCs w:val="24"/>
        </w:rPr>
        <w:t xml:space="preserve">"DNSA Engine" means the Dynamic Net Share Accumulation Engine, the Partnership's proprietary AI-first systematic options overlay system that executes covered call writing and cash-secured put selling across the Alpha Bets 27 Portfolio, as more fully described in Schedule B hereto.</w:t>
      </w:r>
    </w:p>
    <w:p>
      <w:pPr>
        <w:spacing w:after="200"/>
        <w:ind w:left="720"/>
        <w:jc w:val="both"/>
      </w:pPr>
      <w:r>
        <w:rPr>
          <w:rFonts w:ascii="Times New Roman" w:cs="Times New Roman" w:eastAsia="Times New Roman" w:hAnsi="Times New Roman"/>
          <w:sz w:val="24"/>
          <w:szCs w:val="24"/>
        </w:rPr>
        <w:t xml:space="preserve">"DRIP-ON" means the Dividend and Premium Reinvestment Program - Optimized for Net Share Accumulation, pursuant to which all option premium income, dividend income, and interest income generated by the Partnership is systematically reinvested into additional shares of the Alpha Bets 27 Portfolio positions in accordance with each position's FCF Contribution Weight.</w:t>
      </w:r>
    </w:p>
    <w:p>
      <w:pPr>
        <w:spacing w:after="200"/>
        <w:ind w:left="720"/>
        <w:jc w:val="both"/>
      </w:pPr>
      <w:r>
        <w:rPr>
          <w:rFonts w:ascii="Times New Roman" w:cs="Times New Roman" w:eastAsia="Times New Roman" w:hAnsi="Times New Roman"/>
          <w:sz w:val="24"/>
          <w:szCs w:val="24"/>
        </w:rPr>
        <w:t xml:space="preserve">"Equity Sleeve" means the portion of the Partnership's assets allocated to the Alpha Bets 27 Portfolio equity positions, targeted at approximately seventy-eight percent (78%) of total Partnership assets.</w:t>
      </w:r>
    </w:p>
    <w:p>
      <w:pPr>
        <w:spacing w:after="200"/>
        <w:ind w:left="720"/>
        <w:jc w:val="both"/>
      </w:pPr>
      <w:r>
        <w:rPr>
          <w:rFonts w:ascii="Times New Roman" w:cs="Times New Roman" w:eastAsia="Times New Roman" w:hAnsi="Times New Roman"/>
          <w:sz w:val="24"/>
          <w:szCs w:val="24"/>
        </w:rPr>
        <w:t xml:space="preserve">"Evergreen Structure" means the perpetual, open-ended nature of the Partnership, which has no fixed termination date or scheduled wind-down period, and is designed for permanent capital accumulation consistent with the Investment Objective.</w:t>
      </w:r>
    </w:p>
    <w:p>
      <w:pPr>
        <w:spacing w:after="200"/>
        <w:ind w:left="720"/>
        <w:jc w:val="both"/>
      </w:pPr>
      <w:r>
        <w:rPr>
          <w:rFonts w:ascii="Times New Roman" w:cs="Times New Roman" w:eastAsia="Times New Roman" w:hAnsi="Times New Roman"/>
          <w:sz w:val="24"/>
          <w:szCs w:val="24"/>
        </w:rPr>
        <w:t xml:space="preserve">"FATCA" means the Foreign Account Tax Compliance Act, Sections 1471 through 1474 of the Code, and any current or future Treasury Regulations or official interpretations thereof, any agreements entered into pursuant to Section 1471(b)(1) of the Code, and any intergovernmental agreements implementing the foregoing.</w:t>
      </w:r>
    </w:p>
    <w:p>
      <w:pPr>
        <w:spacing w:after="200"/>
        <w:ind w:left="720"/>
        <w:jc w:val="both"/>
      </w:pPr>
      <w:r>
        <w:rPr>
          <w:rFonts w:ascii="Times New Roman" w:cs="Times New Roman" w:eastAsia="Times New Roman" w:hAnsi="Times New Roman"/>
          <w:sz w:val="24"/>
          <w:szCs w:val="24"/>
        </w:rPr>
        <w:t xml:space="preserve">"FCF Contribution Weight" means, with respect to each Alpha Bets 27 Portfolio position, the ratio of such position's trailing twelve-month absolute free cash flow (or net income for Financial Sector Holdings) to the aggregate trailing twelve-month absolute free cash flow (or net income, as applicable) of all Alpha Bets 27 Portfolio positions, recalculated quarterly.</w:t>
      </w:r>
    </w:p>
    <w:p>
      <w:pPr>
        <w:spacing w:after="200"/>
        <w:ind w:left="720"/>
        <w:jc w:val="both"/>
      </w:pPr>
      <w:r>
        <w:rPr>
          <w:rFonts w:ascii="Times New Roman" w:cs="Times New Roman" w:eastAsia="Times New Roman" w:hAnsi="Times New Roman"/>
          <w:sz w:val="24"/>
          <w:szCs w:val="24"/>
        </w:rPr>
        <w:t xml:space="preserve">"Feeder Fund" means any of the Delaware Feeder, the Singapore Feeder, or the ADGM Feeder, each of which invests substantially all of its investable assets in the Partnership.</w:t>
      </w:r>
    </w:p>
    <w:p>
      <w:pPr>
        <w:spacing w:after="200"/>
        <w:ind w:left="720"/>
        <w:jc w:val="both"/>
      </w:pPr>
      <w:r>
        <w:rPr>
          <w:rFonts w:ascii="Times New Roman" w:cs="Times New Roman" w:eastAsia="Times New Roman" w:hAnsi="Times New Roman"/>
          <w:sz w:val="24"/>
          <w:szCs w:val="24"/>
        </w:rPr>
        <w:t xml:space="preserve">"Financial Sector Holdings" means Alpha Bets 27 Portfolio positions in companies whose primary business is banking, insurance, financial services, or payment processing, for which net income shall be used in lieu of free cash flow for all sizing, weighting, and allocation calculations under this Agreement.</w:t>
      </w:r>
    </w:p>
    <w:p>
      <w:pPr>
        <w:spacing w:after="200"/>
        <w:ind w:left="720"/>
        <w:jc w:val="both"/>
      </w:pPr>
      <w:r>
        <w:rPr>
          <w:rFonts w:ascii="Times New Roman" w:cs="Times New Roman" w:eastAsia="Times New Roman" w:hAnsi="Times New Roman"/>
          <w:sz w:val="24"/>
          <w:szCs w:val="24"/>
        </w:rPr>
        <w:t xml:space="preserve">"Five Iron Rules" means the five constitutional investment constraints set forth in Section 7.8 of this Agreement, which may not be amended, modified, or waived without the unanimous written consent of all Partners.</w:t>
      </w:r>
    </w:p>
    <w:p>
      <w:pPr>
        <w:spacing w:after="200"/>
        <w:ind w:left="720"/>
        <w:jc w:val="both"/>
      </w:pPr>
      <w:r>
        <w:rPr>
          <w:rFonts w:ascii="Times New Roman" w:cs="Times New Roman" w:eastAsia="Times New Roman" w:hAnsi="Times New Roman"/>
          <w:sz w:val="24"/>
          <w:szCs w:val="24"/>
        </w:rPr>
        <w:t xml:space="preserve">"Founder" means Manish Sainani, the founder, sole member, and principal of the General Partner.</w:t>
      </w:r>
    </w:p>
    <w:p>
      <w:pPr>
        <w:spacing w:after="200"/>
        <w:ind w:left="720"/>
        <w:jc w:val="both"/>
      </w:pPr>
      <w:r>
        <w:rPr>
          <w:rFonts w:ascii="Times New Roman" w:cs="Times New Roman" w:eastAsia="Times New Roman" w:hAnsi="Times New Roman"/>
          <w:sz w:val="24"/>
          <w:szCs w:val="24"/>
        </w:rPr>
        <w:t xml:space="preserve">"General Partner" or "GP" means Hushh Technologies Middle East LLC, an ADGM-registered limited liability company, or any successor general partner admitted to the Partnership in accordance with this Agreement.</w:t>
      </w:r>
    </w:p>
    <w:p>
      <w:pPr>
        <w:spacing w:after="200"/>
        <w:ind w:left="720"/>
        <w:jc w:val="both"/>
      </w:pPr>
      <w:r>
        <w:rPr>
          <w:rFonts w:ascii="Times New Roman" w:cs="Times New Roman" w:eastAsia="Times New Roman" w:hAnsi="Times New Roman"/>
          <w:sz w:val="24"/>
          <w:szCs w:val="24"/>
        </w:rPr>
        <w:t xml:space="preserve">"Global Index" means the MSCI All Country World Index (ACWI), or such successor index as the General Partner may designate with ninety (90) days' prior written notice to Limited Partners.</w:t>
      </w:r>
    </w:p>
    <w:p>
      <w:pPr>
        <w:spacing w:after="200"/>
        <w:ind w:left="720"/>
        <w:jc w:val="both"/>
      </w:pPr>
      <w:r>
        <w:rPr>
          <w:rFonts w:ascii="Times New Roman" w:cs="Times New Roman" w:eastAsia="Times New Roman" w:hAnsi="Times New Roman"/>
          <w:sz w:val="24"/>
          <w:szCs w:val="24"/>
        </w:rPr>
        <w:t xml:space="preserve">"High-Water Mark" means, with respect to each Class of Interests and each Limited Partner's Capital Account, the highest Adjusted NAV per Interest achieved as of the end of any prior Performance Period since such Limited Partner's admission, as more fully described in Section 6.3.</w:t>
      </w:r>
    </w:p>
    <w:p>
      <w:pPr>
        <w:spacing w:after="200"/>
        <w:ind w:left="720"/>
        <w:jc w:val="both"/>
      </w:pPr>
      <w:r>
        <w:rPr>
          <w:rFonts w:ascii="Times New Roman" w:cs="Times New Roman" w:eastAsia="Times New Roman" w:hAnsi="Times New Roman"/>
          <w:sz w:val="24"/>
          <w:szCs w:val="24"/>
        </w:rPr>
        <w:t xml:space="preserve">"Hurdle Rate" means the annualized return of the Global Index plus two hundred basis points (+200 bps), calculated on a cumulative basis since each Limited Partner's admission or the establishment of the most recent High-Water Mark, whichever is later.</w:t>
      </w:r>
    </w:p>
    <w:p>
      <w:pPr>
        <w:spacing w:after="200"/>
        <w:ind w:left="720"/>
        <w:jc w:val="both"/>
      </w:pPr>
      <w:r>
        <w:rPr>
          <w:rFonts w:ascii="Times New Roman" w:cs="Times New Roman" w:eastAsia="Times New Roman" w:hAnsi="Times New Roman"/>
          <w:sz w:val="24"/>
          <w:szCs w:val="24"/>
        </w:rPr>
        <w:t xml:space="preserve">"Interest" or "Limited Partnership Interest" means a limited partnership interest in the Partnership of any Class.</w:t>
      </w:r>
    </w:p>
    <w:p>
      <w:pPr>
        <w:spacing w:after="200"/>
        <w:ind w:left="720"/>
        <w:jc w:val="both"/>
      </w:pPr>
      <w:r>
        <w:rPr>
          <w:rFonts w:ascii="Times New Roman" w:cs="Times New Roman" w:eastAsia="Times New Roman" w:hAnsi="Times New Roman"/>
          <w:sz w:val="24"/>
          <w:szCs w:val="24"/>
        </w:rPr>
        <w:t xml:space="preserve">"Investment Objective" means the systematic accumulation of shares in the world's highest absolute free cash flow generating businesses, weighted by their contribution to global economic output, using options overlays to convert market fear and greed into additional ownership at the lowest possible cost basis, with the target of beating the Global Index by two hundred basis points (200 bps) net of all fees and expenses over a rolling five-year period.</w:t>
      </w:r>
    </w:p>
    <w:p>
      <w:pPr>
        <w:spacing w:after="200"/>
        <w:ind w:left="720"/>
        <w:jc w:val="both"/>
      </w:pPr>
      <w:r>
        <w:rPr>
          <w:rFonts w:ascii="Times New Roman" w:cs="Times New Roman" w:eastAsia="Times New Roman" w:hAnsi="Times New Roman"/>
          <w:sz w:val="24"/>
          <w:szCs w:val="24"/>
        </w:rPr>
        <w:t xml:space="preserve">"Jacks" means the Tier 4 holdings within the Alpha Bets 27 Portfolio consisting of high-growth free cash flow generating businesses with emerging competitive moats.</w:t>
      </w:r>
    </w:p>
    <w:p>
      <w:pPr>
        <w:spacing w:after="200"/>
        <w:ind w:left="720"/>
        <w:jc w:val="both"/>
      </w:pPr>
      <w:r>
        <w:rPr>
          <w:rFonts w:ascii="Times New Roman" w:cs="Times New Roman" w:eastAsia="Times New Roman" w:hAnsi="Times New Roman"/>
          <w:sz w:val="24"/>
          <w:szCs w:val="24"/>
        </w:rPr>
        <w:t xml:space="preserve">"Kings" means the Tier 2 holdings within the Alpha Bets 27 Portfolio consisting of businesses generating between Twenty-Five Billion Dollars ($25,000,000,000) and Fifty Billion Dollars ($50,000,000,000) in trailing twelve-month free cash flow (or net income for Financial Sector Holdings).</w:t>
      </w:r>
    </w:p>
    <w:p>
      <w:pPr>
        <w:spacing w:after="200"/>
        <w:ind w:left="720"/>
        <w:jc w:val="both"/>
      </w:pPr>
      <w:r>
        <w:rPr>
          <w:rFonts w:ascii="Times New Roman" w:cs="Times New Roman" w:eastAsia="Times New Roman" w:hAnsi="Times New Roman"/>
          <w:sz w:val="24"/>
          <w:szCs w:val="24"/>
        </w:rPr>
        <w:t xml:space="preserve">"Limited Partner" or "LP" means each Person admitted to the Partnership as a limited partner and listed on Schedule C hereto, in such Person's capacity as a limited partner of the Partnership.</w:t>
      </w:r>
    </w:p>
    <w:p>
      <w:pPr>
        <w:spacing w:after="200"/>
        <w:ind w:left="720"/>
        <w:jc w:val="both"/>
      </w:pPr>
      <w:r>
        <w:rPr>
          <w:rFonts w:ascii="Times New Roman" w:cs="Times New Roman" w:eastAsia="Times New Roman" w:hAnsi="Times New Roman"/>
          <w:sz w:val="24"/>
          <w:szCs w:val="24"/>
        </w:rPr>
        <w:t xml:space="preserve">"LTV" means Loan-to-Value, expressed as a ratio of borrowed amounts to the market value of pledged collateral.</w:t>
      </w:r>
    </w:p>
    <w:p>
      <w:pPr>
        <w:spacing w:after="200"/>
        <w:ind w:left="720"/>
        <w:jc w:val="both"/>
      </w:pPr>
      <w:r>
        <w:rPr>
          <w:rFonts w:ascii="Times New Roman" w:cs="Times New Roman" w:eastAsia="Times New Roman" w:hAnsi="Times New Roman"/>
          <w:sz w:val="24"/>
          <w:szCs w:val="24"/>
        </w:rPr>
        <w:t xml:space="preserve">"Management Fee" means the annual management fee payable to the General Partner, calculated and payable quarterly in advance, at the tiered rates set forth in Section 6.1.</w:t>
      </w:r>
    </w:p>
    <w:p>
      <w:pPr>
        <w:spacing w:after="200"/>
        <w:ind w:left="720"/>
        <w:jc w:val="both"/>
      </w:pPr>
      <w:r>
        <w:rPr>
          <w:rFonts w:ascii="Times New Roman" w:cs="Times New Roman" w:eastAsia="Times New Roman" w:hAnsi="Times New Roman"/>
          <w:sz w:val="24"/>
          <w:szCs w:val="24"/>
        </w:rPr>
        <w:t xml:space="preserve">"MFN" or "Most Favored Nation" means the provision set forth in Section 12.15, pursuant to which any more favorable economic or governance term granted to any Limited Partner shall be offered to all Limited Partners in the same or higher priority Class.</w:t>
      </w:r>
    </w:p>
    <w:p>
      <w:pPr>
        <w:spacing w:after="200"/>
        <w:ind w:left="720"/>
        <w:jc w:val="both"/>
      </w:pPr>
      <w:r>
        <w:rPr>
          <w:rFonts w:ascii="Times New Roman" w:cs="Times New Roman" w:eastAsia="Times New Roman" w:hAnsi="Times New Roman"/>
          <w:sz w:val="24"/>
          <w:szCs w:val="24"/>
        </w:rPr>
        <w:t xml:space="preserve">"Net Asset Value" or "NAV" means the value of the Partnership's total assets less total liabilities, determined as of each Valuation Date in accordance with the valuation policies set forth in Section 5.6, marked to market for all publicly traded securities.</w:t>
      </w:r>
    </w:p>
    <w:p>
      <w:pPr>
        <w:spacing w:after="200"/>
        <w:ind w:left="720"/>
        <w:jc w:val="both"/>
      </w:pPr>
      <w:r>
        <w:rPr>
          <w:rFonts w:ascii="Times New Roman" w:cs="Times New Roman" w:eastAsia="Times New Roman" w:hAnsi="Times New Roman"/>
          <w:sz w:val="24"/>
          <w:szCs w:val="24"/>
        </w:rPr>
        <w:t xml:space="preserve">"Partners" means, collectively, the General Partner and all Limited Partners.</w:t>
      </w:r>
    </w:p>
    <w:p>
      <w:pPr>
        <w:spacing w:after="200"/>
        <w:ind w:left="720"/>
        <w:jc w:val="both"/>
      </w:pPr>
      <w:r>
        <w:rPr>
          <w:rFonts w:ascii="Times New Roman" w:cs="Times New Roman" w:eastAsia="Times New Roman" w:hAnsi="Times New Roman"/>
          <w:sz w:val="24"/>
          <w:szCs w:val="24"/>
        </w:rPr>
        <w:t xml:space="preserve">"Performance Allocation" means the allocation to the General Partner of fifteen percent (15%) of the net profits of each Limited Partner's Capital Account in excess of the Hurdle Rate, subject to the High-Water Mark, as more fully described in Section 6.3.</w:t>
      </w:r>
    </w:p>
    <w:p>
      <w:pPr>
        <w:spacing w:after="200"/>
        <w:ind w:left="720"/>
        <w:jc w:val="both"/>
      </w:pPr>
      <w:r>
        <w:rPr>
          <w:rFonts w:ascii="Times New Roman" w:cs="Times New Roman" w:eastAsia="Times New Roman" w:hAnsi="Times New Roman"/>
          <w:sz w:val="24"/>
          <w:szCs w:val="24"/>
        </w:rPr>
        <w:t xml:space="preserve">"Performance Period" means each fiscal year of the Partnership, or such shorter period beginning on the date of a Limited Partner's admission and ending on the last day of the fiscal year in which such admission occurs.</w:t>
      </w:r>
    </w:p>
    <w:p>
      <w:pPr>
        <w:spacing w:after="200"/>
        <w:ind w:left="720"/>
        <w:jc w:val="both"/>
      </w:pPr>
      <w:r>
        <w:rPr>
          <w:rFonts w:ascii="Times New Roman" w:cs="Times New Roman" w:eastAsia="Times New Roman" w:hAnsi="Times New Roman"/>
          <w:sz w:val="24"/>
          <w:szCs w:val="24"/>
        </w:rPr>
        <w:t xml:space="preserve">"Person" means any individual, corporation, partnership, limited liability company, trust, governmental authority, or other entity.</w:t>
      </w:r>
    </w:p>
    <w:p>
      <w:pPr>
        <w:spacing w:after="200"/>
        <w:ind w:left="720"/>
        <w:jc w:val="both"/>
      </w:pPr>
      <w:r>
        <w:rPr>
          <w:rFonts w:ascii="Times New Roman" w:cs="Times New Roman" w:eastAsia="Times New Roman" w:hAnsi="Times New Roman"/>
          <w:sz w:val="24"/>
          <w:szCs w:val="24"/>
        </w:rPr>
        <w:t xml:space="preserve">"Prime Brokers" means, collectively, Goldman Sachs &amp; Co. LLC, Morgan Stanley &amp; Co. LLC, JP Morgan Securities LLC, Alpaca Securities LLC, Charles Schwab &amp; Co., Inc., and Interactive Brokers LLC, and any additional or successor prime brokers appointed by the General Partner.</w:t>
      </w:r>
    </w:p>
    <w:p>
      <w:pPr>
        <w:spacing w:after="200"/>
        <w:ind w:left="720"/>
        <w:jc w:val="both"/>
      </w:pPr>
      <w:r>
        <w:rPr>
          <w:rFonts w:ascii="Times New Roman" w:cs="Times New Roman" w:eastAsia="Times New Roman" w:hAnsi="Times New Roman"/>
          <w:sz w:val="24"/>
          <w:szCs w:val="24"/>
        </w:rPr>
        <w:t xml:space="preserve">"Queens" means the Tier 3 holdings within the Alpha Bets 27 Portfolio consisting of businesses generating between Ten Billion Dollars ($10,000,000,000) and Twenty-Five Billion Dollars ($25,000,000,000) in trailing twelve-month free cash flow (or net income for Financial Sector Holdings).</w:t>
      </w:r>
    </w:p>
    <w:p>
      <w:pPr>
        <w:spacing w:after="200"/>
        <w:ind w:left="720"/>
        <w:jc w:val="both"/>
      </w:pPr>
      <w:r>
        <w:rPr>
          <w:rFonts w:ascii="Times New Roman" w:cs="Times New Roman" w:eastAsia="Times New Roman" w:hAnsi="Times New Roman"/>
          <w:sz w:val="24"/>
          <w:szCs w:val="24"/>
        </w:rPr>
        <w:t xml:space="preserve">"Qualified Purchaser" has the meaning set forth in Section 2(a)(51) of the Investment Company Act of 1940.</w:t>
      </w:r>
    </w:p>
    <w:p>
      <w:pPr>
        <w:spacing w:after="200"/>
        <w:ind w:left="720"/>
        <w:jc w:val="both"/>
      </w:pPr>
      <w:r>
        <w:rPr>
          <w:rFonts w:ascii="Times New Roman" w:cs="Times New Roman" w:eastAsia="Times New Roman" w:hAnsi="Times New Roman"/>
          <w:sz w:val="24"/>
          <w:szCs w:val="24"/>
        </w:rPr>
        <w:t xml:space="preserve">"T-Bill Reserve" or "Treasury Sleeve" means the portion of the Partnership's assets allocated to short-term United States Treasury obligations, targeted at approximately twenty-two percent (22%) of total Partnership assets, which serves simultaneously as a yield-generating reserve, collateral for cash-secured put writing, and liquidity buffer.</w:t>
      </w:r>
    </w:p>
    <w:p>
      <w:pPr>
        <w:spacing w:after="200"/>
        <w:ind w:left="720"/>
        <w:jc w:val="both"/>
      </w:pPr>
      <w:r>
        <w:rPr>
          <w:rFonts w:ascii="Times New Roman" w:cs="Times New Roman" w:eastAsia="Times New Roman" w:hAnsi="Times New Roman"/>
          <w:sz w:val="24"/>
          <w:szCs w:val="24"/>
        </w:rPr>
        <w:t xml:space="preserve">"The 1024 Club" means the maximum aggregate number of Limited Partners permitted across the Partnership and all Feeder Funds, being one thousand and twenty-four (1,024) Limited Partners.</w:t>
      </w:r>
    </w:p>
    <w:p>
      <w:pPr>
        <w:spacing w:after="200"/>
        <w:ind w:left="720"/>
        <w:jc w:val="both"/>
      </w:pPr>
      <w:r>
        <w:rPr>
          <w:rFonts w:ascii="Times New Roman" w:cs="Times New Roman" w:eastAsia="Times New Roman" w:hAnsi="Times New Roman"/>
          <w:sz w:val="24"/>
          <w:szCs w:val="24"/>
        </w:rPr>
        <w:t xml:space="preserve">"Treasury Regulations" means the regulations promulgated under the Code by the United States Department of the Treasury.</w:t>
      </w:r>
    </w:p>
    <w:p>
      <w:pPr>
        <w:spacing w:after="200"/>
        <w:ind w:left="720"/>
        <w:jc w:val="both"/>
      </w:pPr>
      <w:r>
        <w:rPr>
          <w:rFonts w:ascii="Times New Roman" w:cs="Times New Roman" w:eastAsia="Times New Roman" w:hAnsi="Times New Roman"/>
          <w:sz w:val="24"/>
          <w:szCs w:val="24"/>
        </w:rPr>
        <w:t xml:space="preserve">"Valuation Date" means the last Business Day of each calendar quarter, or such other date as the General Partner may designate for purposes of determining Net Asset Value.</w:t>
      </w:r>
    </w:p>
    <w:p>
      <w:pPr>
        <w:spacing w:after="200"/>
        <w:jc w:val="both"/>
      </w:pPr>
      <w:r>
        <w:rPr>
          <w:rFonts w:ascii="Times New Roman" w:cs="Times New Roman" w:eastAsia="Times New Roman" w:hAnsi="Times New Roman"/>
          <w:b/>
          <w:bCs/>
          <w:sz w:val="24"/>
          <w:szCs w:val="24"/>
        </w:rPr>
        <w:t xml:space="preserve">Section 1.2. Interpretation. Unless the context otherwise requires: (a) words importing the singular include the plural and vice versa; (b) words importing a gender include every gender; (c) references to any statute or statutory provision include any statute or statutory provision that amends, extends, consolidates, or replaces the same; and (d) headings are for convenience only and shall not affect interpretation.</w:t>
      </w:r>
    </w:p>
    <w:p>
      <w:r>
        <w:br w:type="page"/>
      </w:r>
    </w:p>
    <w:p>
      <w:pPr>
        <w:pStyle w:val="Heading1"/>
      </w:pPr>
      <w:r>
        <w:rPr>
          <w:b/>
          <w:bCs/>
        </w:rPr>
        <w:t xml:space="preserve">ARTICLE II: ORGANIZATION AND FORMATION</w:t>
      </w:r>
    </w:p>
    <w:p>
      <w:pPr>
        <w:spacing w:after="200"/>
        <w:jc w:val="both"/>
      </w:pPr>
      <w:r>
        <w:rPr>
          <w:rFonts w:ascii="Times New Roman" w:cs="Times New Roman" w:eastAsia="Times New Roman" w:hAnsi="Times New Roman"/>
          <w:b/>
          <w:bCs/>
          <w:sz w:val="24"/>
          <w:szCs w:val="24"/>
        </w:rPr>
        <w:t xml:space="preserve">Section 2.1. Formation.</w:t>
      </w:r>
    </w:p>
    <w:p>
      <w:pPr>
        <w:spacing w:after="200"/>
        <w:jc w:val="both"/>
      </w:pPr>
      <w:r>
        <w:rPr>
          <w:rFonts w:ascii="Times New Roman" w:cs="Times New Roman" w:eastAsia="Times New Roman" w:hAnsi="Times New Roman"/>
          <w:sz w:val="24"/>
          <w:szCs w:val="24"/>
        </w:rPr>
        <w:t xml:space="preserve">The Partnership has been formed as an exempted limited partnership under and pursuant to the Cayman ELPA. The General Partner shall execute and cause to be filed with the Registrar of Exempted Limited Partnerships in the Cayman Islands all instruments and documents required by the Cayman ELPA to effect and maintain the Partnership's registration as an exempted limited partnership.</w:t>
      </w:r>
    </w:p>
    <w:p>
      <w:pPr>
        <w:spacing w:after="200"/>
        <w:jc w:val="both"/>
      </w:pPr>
      <w:r>
        <w:rPr>
          <w:rFonts w:ascii="Times New Roman" w:cs="Times New Roman" w:eastAsia="Times New Roman" w:hAnsi="Times New Roman"/>
          <w:b/>
          <w:bCs/>
          <w:sz w:val="24"/>
          <w:szCs w:val="24"/>
        </w:rPr>
        <w:t xml:space="preserve">Section 2.2. Name.</w:t>
      </w:r>
    </w:p>
    <w:p>
      <w:pPr>
        <w:spacing w:after="200"/>
        <w:jc w:val="both"/>
      </w:pPr>
      <w:r>
        <w:rPr>
          <w:rFonts w:ascii="Times New Roman" w:cs="Times New Roman" w:eastAsia="Times New Roman" w:hAnsi="Times New Roman"/>
          <w:sz w:val="24"/>
          <w:szCs w:val="24"/>
        </w:rPr>
        <w:t xml:space="preserve">The name of the Partnership is "Hushh Alpha Aloha Fund A, LP." The business of the Partnership may be conducted under such name or any trade name or fictitious name that the General Partner deems appropriate or advisable, provided that the General Partner shall comply with all applicable laws governing the use of assumed or fictitious names.</w:t>
      </w:r>
    </w:p>
    <w:p>
      <w:pPr>
        <w:spacing w:after="200"/>
        <w:jc w:val="both"/>
      </w:pPr>
      <w:r>
        <w:rPr>
          <w:rFonts w:ascii="Times New Roman" w:cs="Times New Roman" w:eastAsia="Times New Roman" w:hAnsi="Times New Roman"/>
          <w:b/>
          <w:bCs/>
          <w:sz w:val="24"/>
          <w:szCs w:val="24"/>
        </w:rPr>
        <w:t xml:space="preserve">Section 2.3. Registered Office and Agent.</w:t>
      </w:r>
    </w:p>
    <w:p>
      <w:pPr>
        <w:spacing w:after="200"/>
        <w:jc w:val="both"/>
      </w:pPr>
      <w:r>
        <w:rPr>
          <w:rFonts w:ascii="Times New Roman" w:cs="Times New Roman" w:eastAsia="Times New Roman" w:hAnsi="Times New Roman"/>
          <w:sz w:val="24"/>
          <w:szCs w:val="24"/>
        </w:rPr>
        <w:t xml:space="preserve">The registered office of the Partnership in the Cayman Islands shall be at such location as the General Partner may determine from time to time. The General Partner shall maintain a registered agent in the Cayman Islands as required by the Cayman ELPA.</w:t>
      </w:r>
    </w:p>
    <w:p>
      <w:pPr>
        <w:spacing w:after="200"/>
        <w:jc w:val="both"/>
      </w:pPr>
      <w:r>
        <w:rPr>
          <w:rFonts w:ascii="Times New Roman" w:cs="Times New Roman" w:eastAsia="Times New Roman" w:hAnsi="Times New Roman"/>
          <w:b/>
          <w:bCs/>
          <w:sz w:val="24"/>
          <w:szCs w:val="24"/>
        </w:rPr>
        <w:t xml:space="preserve">Section 2.4. Purpose and Powers.</w:t>
      </w:r>
    </w:p>
    <w:p>
      <w:pPr>
        <w:spacing w:after="200"/>
        <w:jc w:val="both"/>
      </w:pPr>
      <w:r>
        <w:rPr>
          <w:rFonts w:ascii="Times New Roman" w:cs="Times New Roman" w:eastAsia="Times New Roman" w:hAnsi="Times New Roman"/>
          <w:sz w:val="24"/>
          <w:szCs w:val="24"/>
        </w:rPr>
        <w:t xml:space="preserve">The purpose of the Partnership is to pursue the Investment Objective through: (a) the acquisition, holding, and disposition of equity securities constituting the Alpha Bets 27 Portfolio; (b) the operation of the DNSA Engine for systematic options overlay execution; (c) the maintenance and management of the T-Bill Reserve; (d) the execution of the DRIP-ON methodology for premium reinvestment and net share accumulation; and (e) engaging in any and all activities incidental or ancillary thereto, in each case subject to the Five Iron Rules and applicable law. The Partnership shall have and may exercise all the powers and privileges granted by the Cayman ELPA or by any other law or by this Agreement, together with any powers incidental thereto, to the extent that such powers and privileges are necessary or convenient to the conduct, promotion, or attainment of the business, purposes, or activities of the Partnership.</w:t>
      </w:r>
    </w:p>
    <w:p>
      <w:pPr>
        <w:spacing w:after="200"/>
        <w:jc w:val="both"/>
      </w:pPr>
      <w:r>
        <w:rPr>
          <w:rFonts w:ascii="Times New Roman" w:cs="Times New Roman" w:eastAsia="Times New Roman" w:hAnsi="Times New Roman"/>
          <w:b/>
          <w:bCs/>
          <w:sz w:val="24"/>
          <w:szCs w:val="24"/>
        </w:rPr>
        <w:t xml:space="preserve">Section 2.5. Term.</w:t>
      </w:r>
    </w:p>
    <w:p>
      <w:pPr>
        <w:spacing w:after="200"/>
        <w:jc w:val="both"/>
      </w:pPr>
      <w:r>
        <w:rPr>
          <w:rFonts w:ascii="Times New Roman" w:cs="Times New Roman" w:eastAsia="Times New Roman" w:hAnsi="Times New Roman"/>
          <w:sz w:val="24"/>
          <w:szCs w:val="24"/>
        </w:rPr>
        <w:t xml:space="preserve">The Partnership is established as an Evergreen Structure and shall continue in perpetuity unless dissolved in accordance with Article XI. The Partnership has no fixed termination date, scheduled liquidation period, or mandatory wind-down provision. The permanence of the Partnership's capital base is fundamental to the Investment Objective and the DRIP-ON compounding methodology.</w:t>
      </w:r>
    </w:p>
    <w:p>
      <w:pPr>
        <w:spacing w:after="200"/>
        <w:jc w:val="both"/>
      </w:pPr>
      <w:r>
        <w:rPr>
          <w:rFonts w:ascii="Times New Roman" w:cs="Times New Roman" w:eastAsia="Times New Roman" w:hAnsi="Times New Roman"/>
          <w:b/>
          <w:bCs/>
          <w:sz w:val="24"/>
          <w:szCs w:val="24"/>
        </w:rPr>
        <w:t xml:space="preserve">Section 2.6. Master-Feeder Structure.</w:t>
      </w:r>
    </w:p>
    <w:p>
      <w:pPr>
        <w:spacing w:after="200"/>
        <w:jc w:val="both"/>
      </w:pPr>
      <w:r>
        <w:rPr>
          <w:rFonts w:ascii="Times New Roman" w:cs="Times New Roman" w:eastAsia="Times New Roman" w:hAnsi="Times New Roman"/>
          <w:sz w:val="24"/>
          <w:szCs w:val="24"/>
        </w:rPr>
        <w:t xml:space="preserve">The Partnership operates as the master fund in a master-feeder structure. The following Feeder Funds invest substantially all of their investable assets in the Partnership:</w:t>
      </w:r>
    </w:p>
    <w:p>
      <w:pPr>
        <w:spacing w:after="200"/>
        <w:ind w:left="720"/>
        <w:jc w:val="both"/>
      </w:pPr>
      <w:r>
        <w:rPr>
          <w:rFonts w:ascii="Times New Roman" w:cs="Times New Roman" w:eastAsia="Times New Roman" w:hAnsi="Times New Roman"/>
          <w:sz w:val="24"/>
          <w:szCs w:val="24"/>
        </w:rPr>
        <w:t xml:space="preserve">(a) Hushh Alpha Aloha Fund A (Delaware), LP, a Delaware limited partnership (the "Delaware Feeder"), organized for United States taxable investors;</w:t>
      </w:r>
    </w:p>
    <w:p>
      <w:pPr>
        <w:spacing w:after="200"/>
        <w:ind w:left="720"/>
        <w:jc w:val="both"/>
      </w:pPr>
      <w:r>
        <w:rPr>
          <w:rFonts w:ascii="Times New Roman" w:cs="Times New Roman" w:eastAsia="Times New Roman" w:hAnsi="Times New Roman"/>
          <w:sz w:val="24"/>
          <w:szCs w:val="24"/>
        </w:rPr>
        <w:t xml:space="preserve">(b) Hushh Alpha Aloha Fund A (Singapore) VCC, a Singapore Variable Capital Company (the "Singapore Feeder"), organized for Asia-Pacific and tax-exempt investors; and</w:t>
      </w:r>
    </w:p>
    <w:p>
      <w:pPr>
        <w:spacing w:after="200"/>
        <w:ind w:left="720"/>
        <w:jc w:val="both"/>
      </w:pPr>
      <w:r>
        <w:rPr>
          <w:rFonts w:ascii="Times New Roman" w:cs="Times New Roman" w:eastAsia="Times New Roman" w:hAnsi="Times New Roman"/>
          <w:sz w:val="24"/>
          <w:szCs w:val="24"/>
        </w:rPr>
        <w:t xml:space="preserve">(c) Hushh Alpha Aloha Fund A (ADGM), LP, an ADGM limited partnership (the "ADGM Feeder"), organized for Gulf Cooperation Council, Middle Eastern, and certain tax-exempt investors.</w:t>
      </w:r>
    </w:p>
    <w:p>
      <w:pPr>
        <w:spacing w:after="200"/>
        <w:jc w:val="both"/>
      </w:pPr>
      <w:r>
        <w:rPr>
          <w:rFonts w:ascii="Times New Roman" w:cs="Times New Roman" w:eastAsia="Times New Roman" w:hAnsi="Times New Roman"/>
          <w:sz w:val="24"/>
          <w:szCs w:val="24"/>
        </w:rPr>
        <w:t xml:space="preserve">Each Feeder Fund shall be treated as a single Limited Partner of the Partnership for purposes of this Agreement, and the rights and obligations of the beneficial owners of each Feeder Fund shall be governed by the separate partnership or organizational agreement of such Feeder Fund.</w:t>
      </w:r>
    </w:p>
    <w:p>
      <w:pPr>
        <w:spacing w:after="200"/>
        <w:jc w:val="both"/>
      </w:pPr>
      <w:r>
        <w:rPr>
          <w:rFonts w:ascii="Times New Roman" w:cs="Times New Roman" w:eastAsia="Times New Roman" w:hAnsi="Times New Roman"/>
          <w:b/>
          <w:bCs/>
          <w:sz w:val="24"/>
          <w:szCs w:val="24"/>
        </w:rPr>
        <w:t xml:space="preserve">Section 2.7. The 1024 Club.</w:t>
      </w:r>
    </w:p>
    <w:p>
      <w:pPr>
        <w:spacing w:after="200"/>
        <w:jc w:val="both"/>
      </w:pPr>
      <w:r>
        <w:rPr>
          <w:rFonts w:ascii="Times New Roman" w:cs="Times New Roman" w:eastAsia="Times New Roman" w:hAnsi="Times New Roman"/>
          <w:sz w:val="24"/>
          <w:szCs w:val="24"/>
        </w:rPr>
        <w:t xml:space="preserve">The aggregate number of Limited Partners (including beneficial owners of all Feeder Funds counted on a look-through basis) shall not exceed one thousand and twenty-four (1,024) at any time. The General Partner shall maintain a registry of all Partners and beneficial owners across the master-feeder structure to ensure compliance with this limitation. Admission of any Partner or beneficial owner that would cause the aggregate to exceed 1,024 shall be void ab initio.</w:t>
      </w:r>
    </w:p>
    <w:p>
      <w:r>
        <w:br w:type="page"/>
      </w:r>
    </w:p>
    <w:p>
      <w:pPr>
        <w:pStyle w:val="Heading1"/>
      </w:pPr>
      <w:r>
        <w:rPr>
          <w:b/>
          <w:bCs/>
        </w:rPr>
        <w:t xml:space="preserve">ARTICLE III: CLASSES OF INTERESTS, CAPITAL CONTRIBUTIONS, AND ADMISSIONS</w:t>
      </w:r>
    </w:p>
    <w:p>
      <w:pPr>
        <w:spacing w:after="200"/>
        <w:jc w:val="both"/>
      </w:pPr>
      <w:r>
        <w:rPr>
          <w:rFonts w:ascii="Times New Roman" w:cs="Times New Roman" w:eastAsia="Times New Roman" w:hAnsi="Times New Roman"/>
          <w:b/>
          <w:bCs/>
          <w:sz w:val="24"/>
          <w:szCs w:val="24"/>
        </w:rPr>
        <w:t xml:space="preserve">Section 3.1. Classes of Interests.</w:t>
      </w:r>
    </w:p>
    <w:p>
      <w:pPr>
        <w:spacing w:after="200"/>
        <w:jc w:val="both"/>
      </w:pPr>
      <w:r>
        <w:rPr>
          <w:rFonts w:ascii="Times New Roman" w:cs="Times New Roman" w:eastAsia="Times New Roman" w:hAnsi="Times New Roman"/>
          <w:sz w:val="24"/>
          <w:szCs w:val="24"/>
        </w:rPr>
        <w:t xml:space="preserve">The Partnership shall have six (6) Classes of Limited Partnership Interests, each with distinct economic terms, minimum investment requirements, and investor eligibility criteria as follows:</w:t>
      </w:r>
    </w:p>
    <w:p>
      <w:pPr>
        <w:spacing w:after="200"/>
        <w:ind w:left="720"/>
        <w:jc w:val="both"/>
      </w:pPr>
      <w:r>
        <w:rPr>
          <w:rFonts w:ascii="Times New Roman" w:cs="Times New Roman" w:eastAsia="Times New Roman" w:hAnsi="Times New Roman"/>
          <w:sz w:val="24"/>
          <w:szCs w:val="24"/>
        </w:rPr>
        <w:t xml:space="preserve">(a) Class A Interests: Open to Qualified Purchasers. Minimum initial contribution of One Million Dollars ($1,000,000). Management Fee of 1.69% per annum on assets up to $100M; 1.19% on assets from $100M to $500M; 0.69% on assets above $500M (each measured at the individual LP account level). Performance Allocation of 15% above the Hurdle Rate, subject to the High-Water Mark.</w:t>
      </w:r>
    </w:p>
    <w:p>
      <w:pPr>
        <w:spacing w:after="200"/>
        <w:ind w:left="720"/>
        <w:jc w:val="both"/>
      </w:pPr>
      <w:r>
        <w:rPr>
          <w:rFonts w:ascii="Times New Roman" w:cs="Times New Roman" w:eastAsia="Times New Roman" w:hAnsi="Times New Roman"/>
          <w:sz w:val="24"/>
          <w:szCs w:val="24"/>
        </w:rPr>
        <w:t xml:space="preserve">(b) Class B Interests: Open to institutional investors committing a minimum of Ten Million Dollars ($10,000,000). Management Fee of 1.19% per annum on all assets. Performance Allocation of 15% above the Hurdle Rate, subject to the High-Water Mark. Priority co-investment rights in future Hushh-sponsored vehicles.</w:t>
      </w:r>
    </w:p>
    <w:p>
      <w:pPr>
        <w:spacing w:after="200"/>
        <w:ind w:left="720"/>
        <w:jc w:val="both"/>
      </w:pPr>
      <w:r>
        <w:rPr>
          <w:rFonts w:ascii="Times New Roman" w:cs="Times New Roman" w:eastAsia="Times New Roman" w:hAnsi="Times New Roman"/>
          <w:sz w:val="24"/>
          <w:szCs w:val="24"/>
        </w:rPr>
        <w:t xml:space="preserve">(c) Class C Interests: Open to strategic partners, distribution partners, and Registered Investment Advisers committing a minimum of Five Million Dollars ($5,000,000). Management Fee of 1.49% per annum. Performance Allocation of 15% above the Hurdle Rate, subject to the High-Water Mark. Strategic advisory and co-development rights as determined by the General Partner.</w:t>
      </w:r>
    </w:p>
    <w:p>
      <w:pPr>
        <w:spacing w:after="200"/>
        <w:ind w:left="720"/>
        <w:jc w:val="both"/>
      </w:pPr>
      <w:r>
        <w:rPr>
          <w:rFonts w:ascii="Times New Roman" w:cs="Times New Roman" w:eastAsia="Times New Roman" w:hAnsi="Times New Roman"/>
          <w:sz w:val="24"/>
          <w:szCs w:val="24"/>
        </w:rPr>
        <w:t xml:space="preserve">(d) Class I Interests: Open to sovereign wealth funds, central banks, and supranational institutions committing a minimum of Fifty Million Dollars ($50,000,000). Management Fee of 0.69% per annum on all assets. Performance Allocation of 15% above the Hurdle Rate, subject to the High-Water Mark. Customized reporting, dedicated investor relations, and advisory committee participation rights.</w:t>
      </w:r>
    </w:p>
    <w:p>
      <w:pPr>
        <w:spacing w:after="200"/>
        <w:ind w:left="720"/>
        <w:jc w:val="both"/>
      </w:pPr>
      <w:r>
        <w:rPr>
          <w:rFonts w:ascii="Times New Roman" w:cs="Times New Roman" w:eastAsia="Times New Roman" w:hAnsi="Times New Roman"/>
          <w:sz w:val="24"/>
          <w:szCs w:val="24"/>
        </w:rPr>
        <w:t xml:space="preserve">(e) Class S Interests: Open to employees, officers, directors, and affiliates of the General Partner and Hushh Technologies Corporation. No minimum investment. Management Fee of 0.00% per annum. Performance Allocation of 15% above the Hurdle Rate, subject to the High-Water Mark.</w:t>
      </w:r>
    </w:p>
    <w:p>
      <w:pPr>
        <w:spacing w:after="200"/>
        <w:ind w:left="720"/>
        <w:jc w:val="both"/>
      </w:pPr>
      <w:r>
        <w:rPr>
          <w:rFonts w:ascii="Times New Roman" w:cs="Times New Roman" w:eastAsia="Times New Roman" w:hAnsi="Times New Roman"/>
          <w:sz w:val="24"/>
          <w:szCs w:val="24"/>
        </w:rPr>
        <w:t xml:space="preserve">(f) Class F Interests: The Founder's Class, held exclusively by the Founder, the General Partner, and their respective Affiliates. No minimum investment. Management Fee of 0.00% per annum. Performance Allocation of 0%. The Founder's Class shall have no redemption restrictions and shall be the first capital contributed and the last capital returned upon dissolution (first-in/last-out).</w:t>
      </w:r>
    </w:p>
    <w:p>
      <w:pPr>
        <w:spacing w:after="200"/>
        <w:jc w:val="both"/>
      </w:pPr>
      <w:r>
        <w:rPr>
          <w:rFonts w:ascii="Times New Roman" w:cs="Times New Roman" w:eastAsia="Times New Roman" w:hAnsi="Times New Roman"/>
          <w:b/>
          <w:bCs/>
          <w:sz w:val="24"/>
          <w:szCs w:val="24"/>
        </w:rPr>
        <w:t xml:space="preserve">Section 3.2. GP Co-Investment.</w:t>
      </w:r>
    </w:p>
    <w:p>
      <w:pPr>
        <w:spacing w:after="200"/>
        <w:jc w:val="both"/>
      </w:pPr>
      <w:r>
        <w:rPr>
          <w:rFonts w:ascii="Times New Roman" w:cs="Times New Roman" w:eastAsia="Times New Roman" w:hAnsi="Times New Roman"/>
          <w:sz w:val="24"/>
          <w:szCs w:val="24"/>
        </w:rPr>
        <w:t xml:space="preserve">The General Partner shall make an initial capital contribution of not less than Five Million Dollars ($5,000,000) to the Partnership in the form of Class F Interests (the "GP Co-Investment"). The GP Co-Investment shall be the first capital contributed to the Partnership and, upon dissolution, shall be the last capital returned to any Partner. The GP Co-Investment demonstrates alignment of interests between the General Partner and the Limited Partners and may be increased at any time at the General Partner's discretion.</w:t>
      </w:r>
    </w:p>
    <w:p>
      <w:pPr>
        <w:spacing w:after="200"/>
        <w:jc w:val="both"/>
      </w:pPr>
      <w:r>
        <w:rPr>
          <w:rFonts w:ascii="Times New Roman" w:cs="Times New Roman" w:eastAsia="Times New Roman" w:hAnsi="Times New Roman"/>
          <w:b/>
          <w:bCs/>
          <w:sz w:val="24"/>
          <w:szCs w:val="24"/>
        </w:rPr>
        <w:t xml:space="preserve">Section 3.3. Admission of Limited Partners.</w:t>
      </w:r>
    </w:p>
    <w:p>
      <w:pPr>
        <w:spacing w:after="200"/>
        <w:jc w:val="both"/>
      </w:pPr>
      <w:r>
        <w:rPr>
          <w:rFonts w:ascii="Times New Roman" w:cs="Times New Roman" w:eastAsia="Times New Roman" w:hAnsi="Times New Roman"/>
          <w:sz w:val="24"/>
          <w:szCs w:val="24"/>
        </w:rPr>
        <w:t xml:space="preserve">(a) Limited Partners may be admitted to the Partnership as of the first Business Day of each calendar quarter, or at such other times as the General Partner may determine in its sole discretion.</w:t>
      </w:r>
    </w:p>
    <w:p>
      <w:pPr>
        <w:spacing w:after="200"/>
        <w:jc w:val="both"/>
      </w:pPr>
      <w:r>
        <w:rPr>
          <w:rFonts w:ascii="Times New Roman" w:cs="Times New Roman" w:eastAsia="Times New Roman" w:hAnsi="Times New Roman"/>
          <w:sz w:val="24"/>
          <w:szCs w:val="24"/>
        </w:rPr>
        <w:t xml:space="preserve">(b) As a condition to admission, each prospective Limited Partner shall: (i) execute a Subscription Agreement in the form prescribed by the General Partner; (ii) execute a counterpart of this Agreement; (iii) make the minimum capital contribution required for the applicable Class; (iv) provide all information and documentation required for AML/KYC compliance, including but not limited to beneficial ownership information, source of funds documentation, and tax identification information; (v) represent and warrant that it is a Qualified Purchaser (or, for Class S and Class F Interests, an Accredited Investor); and (vi) satisfy such other requirements as the General Partner may reasonably impose.</w:t>
      </w:r>
    </w:p>
    <w:p>
      <w:pPr>
        <w:spacing w:after="200"/>
        <w:jc w:val="both"/>
      </w:pPr>
      <w:r>
        <w:rPr>
          <w:rFonts w:ascii="Times New Roman" w:cs="Times New Roman" w:eastAsia="Times New Roman" w:hAnsi="Times New Roman"/>
          <w:sz w:val="24"/>
          <w:szCs w:val="24"/>
        </w:rPr>
        <w:t xml:space="preserve">(c) The General Partner may, in its sole and absolute discretion, accept or reject any subscription in whole or in part, and shall not be required to provide reasons for any rejection.</w:t>
      </w:r>
    </w:p>
    <w:p>
      <w:pPr>
        <w:spacing w:after="200"/>
        <w:jc w:val="both"/>
      </w:pPr>
      <w:r>
        <w:rPr>
          <w:rFonts w:ascii="Times New Roman" w:cs="Times New Roman" w:eastAsia="Times New Roman" w:hAnsi="Times New Roman"/>
          <w:b/>
          <w:bCs/>
          <w:sz w:val="24"/>
          <w:szCs w:val="24"/>
        </w:rPr>
        <w:t xml:space="preserve">Section 3.4. Additional Capital Contributions.</w:t>
      </w:r>
    </w:p>
    <w:p>
      <w:pPr>
        <w:spacing w:after="200"/>
        <w:jc w:val="both"/>
      </w:pPr>
      <w:r>
        <w:rPr>
          <w:rFonts w:ascii="Times New Roman" w:cs="Times New Roman" w:eastAsia="Times New Roman" w:hAnsi="Times New Roman"/>
          <w:sz w:val="24"/>
          <w:szCs w:val="24"/>
        </w:rPr>
        <w:t xml:space="preserve">Limited Partners may make additional capital contributions to the Partnership as of any date on which new Limited Partners may be admitted, subject to the prior written consent of the General Partner and compliance with applicable subscription procedures.</w:t>
      </w:r>
    </w:p>
    <w:p>
      <w:pPr>
        <w:spacing w:after="200"/>
        <w:jc w:val="both"/>
      </w:pPr>
      <w:r>
        <w:rPr>
          <w:rFonts w:ascii="Times New Roman" w:cs="Times New Roman" w:eastAsia="Times New Roman" w:hAnsi="Times New Roman"/>
          <w:b/>
          <w:bCs/>
          <w:sz w:val="24"/>
          <w:szCs w:val="24"/>
        </w:rPr>
        <w:t xml:space="preserve">Section 3.5. No Obligation for Additional Contributions.</w:t>
      </w:r>
    </w:p>
    <w:p>
      <w:pPr>
        <w:spacing w:after="200"/>
        <w:jc w:val="both"/>
      </w:pPr>
      <w:r>
        <w:rPr>
          <w:rFonts w:ascii="Times New Roman" w:cs="Times New Roman" w:eastAsia="Times New Roman" w:hAnsi="Times New Roman"/>
          <w:sz w:val="24"/>
          <w:szCs w:val="24"/>
        </w:rPr>
        <w:t xml:space="preserve">No Limited Partner shall be obligated to make any capital contribution to the Partnership beyond such Limited Partner's initial and any agreed-upon additional capital contributions. No Limited Partner shall be liable for the debts, obligations, or liabilities of the Partnership in excess of such Limited Partner's Capital Account balance and any unpaid capital contributions.</w:t>
      </w:r>
    </w:p>
    <w:p>
      <w:pPr>
        <w:spacing w:after="200"/>
        <w:jc w:val="both"/>
      </w:pPr>
      <w:r>
        <w:rPr>
          <w:rFonts w:ascii="Times New Roman" w:cs="Times New Roman" w:eastAsia="Times New Roman" w:hAnsi="Times New Roman"/>
          <w:b/>
          <w:bCs/>
          <w:sz w:val="24"/>
          <w:szCs w:val="24"/>
        </w:rPr>
        <w:t xml:space="preserve">Section 3.6. Withdrawal and Return of Capital Contributions.</w:t>
      </w:r>
    </w:p>
    <w:p>
      <w:pPr>
        <w:spacing w:after="200"/>
        <w:jc w:val="both"/>
      </w:pPr>
      <w:r>
        <w:rPr>
          <w:rFonts w:ascii="Times New Roman" w:cs="Times New Roman" w:eastAsia="Times New Roman" w:hAnsi="Times New Roman"/>
          <w:sz w:val="24"/>
          <w:szCs w:val="24"/>
        </w:rPr>
        <w:t xml:space="preserve">Except as specifically provided in Article IX (Redemptions), no Limited Partner shall have the right to withdraw or demand the return of all or any portion of such Limited Partner's capital contribution.</w:t>
      </w:r>
    </w:p>
    <w:p>
      <w:r>
        <w:br w:type="page"/>
      </w:r>
    </w:p>
    <w:p>
      <w:pPr>
        <w:pStyle w:val="Heading1"/>
      </w:pPr>
      <w:r>
        <w:rPr>
          <w:b/>
          <w:bCs/>
        </w:rPr>
        <w:t xml:space="preserve">ARTICLE IV: MANAGEMENT AND OPERATIONS OF THE PARTNERSHIP</w:t>
      </w:r>
    </w:p>
    <w:p>
      <w:pPr>
        <w:spacing w:after="200"/>
        <w:jc w:val="both"/>
      </w:pPr>
      <w:r>
        <w:rPr>
          <w:rFonts w:ascii="Times New Roman" w:cs="Times New Roman" w:eastAsia="Times New Roman" w:hAnsi="Times New Roman"/>
          <w:b/>
          <w:bCs/>
          <w:sz w:val="24"/>
          <w:szCs w:val="24"/>
        </w:rPr>
        <w:t xml:space="preserve">Section 4.1. Authority of the General Partner.</w:t>
      </w:r>
    </w:p>
    <w:p>
      <w:pPr>
        <w:spacing w:after="200"/>
        <w:jc w:val="both"/>
      </w:pPr>
      <w:r>
        <w:rPr>
          <w:rFonts w:ascii="Times New Roman" w:cs="Times New Roman" w:eastAsia="Times New Roman" w:hAnsi="Times New Roman"/>
          <w:sz w:val="24"/>
          <w:szCs w:val="24"/>
        </w:rPr>
        <w:t xml:space="preserve">The General Partner shall have full, exclusive, and complete authority, power, and discretion to manage, control, administer, and operate the business and affairs of the Partnership, to make all decisions affecting the business and affairs of the Partnership, and to perform any and all other acts or activities customary or incident to the management of the Partnership's business, subject only to the Five Iron Rules (Section 7.8) and the express limitations set forth in this Agreement. No Limited Partner, in its capacity as such, shall participate in or have any control over the business of the Partnership.</w:t>
      </w:r>
    </w:p>
    <w:p>
      <w:pPr>
        <w:spacing w:after="200"/>
        <w:jc w:val="both"/>
      </w:pPr>
      <w:r>
        <w:rPr>
          <w:rFonts w:ascii="Times New Roman" w:cs="Times New Roman" w:eastAsia="Times New Roman" w:hAnsi="Times New Roman"/>
          <w:b/>
          <w:bCs/>
          <w:sz w:val="24"/>
          <w:szCs w:val="24"/>
        </w:rPr>
        <w:t xml:space="preserve">Section 4.2. Specific Powers of the General Partner.</w:t>
      </w:r>
    </w:p>
    <w:p>
      <w:pPr>
        <w:spacing w:after="200"/>
        <w:jc w:val="both"/>
      </w:pPr>
      <w:r>
        <w:rPr>
          <w:rFonts w:ascii="Times New Roman" w:cs="Times New Roman" w:eastAsia="Times New Roman" w:hAnsi="Times New Roman"/>
          <w:sz w:val="24"/>
          <w:szCs w:val="24"/>
        </w:rPr>
        <w:t xml:space="preserve">Without limiting the generality of Section 4.1, the General Partner shall have the power and authority, on behalf of the Partnership, to:</w:t>
      </w:r>
    </w:p>
    <w:p>
      <w:pPr>
        <w:spacing w:after="200"/>
        <w:ind w:left="720"/>
        <w:jc w:val="both"/>
      </w:pPr>
      <w:r>
        <w:rPr>
          <w:rFonts w:ascii="Times New Roman" w:cs="Times New Roman" w:eastAsia="Times New Roman" w:hAnsi="Times New Roman"/>
          <w:sz w:val="24"/>
          <w:szCs w:val="24"/>
        </w:rPr>
        <w:t xml:space="preserve">(a) implement and manage the Investment Objective, including the construction, rebalancing, and oversight of the Alpha Bets 27 Portfolio, the operation of the DNSA Engine, and the execution of the DRIP-ON methodology;</w:t>
      </w:r>
    </w:p>
    <w:p>
      <w:pPr>
        <w:spacing w:after="200"/>
        <w:ind w:left="720"/>
        <w:jc w:val="both"/>
      </w:pPr>
      <w:r>
        <w:rPr>
          <w:rFonts w:ascii="Times New Roman" w:cs="Times New Roman" w:eastAsia="Times New Roman" w:hAnsi="Times New Roman"/>
          <w:sz w:val="24"/>
          <w:szCs w:val="24"/>
        </w:rPr>
        <w:t xml:space="preserve">(b) open, maintain, and close brokerage accounts, custodial accounts, and bank accounts with the Prime Brokers and any other financial institutions;</w:t>
      </w:r>
    </w:p>
    <w:p>
      <w:pPr>
        <w:spacing w:after="200"/>
        <w:ind w:left="720"/>
        <w:jc w:val="both"/>
      </w:pPr>
      <w:r>
        <w:rPr>
          <w:rFonts w:ascii="Times New Roman" w:cs="Times New Roman" w:eastAsia="Times New Roman" w:hAnsi="Times New Roman"/>
          <w:sz w:val="24"/>
          <w:szCs w:val="24"/>
        </w:rPr>
        <w:t xml:space="preserve">(c) borrow money on behalf of the Partnership, pledge Partnership assets as collateral, and enter into margin agreements, securities lending agreements, and other financing arrangements, subject to the leverage limitations set forth in Section 7.8;</w:t>
      </w:r>
    </w:p>
    <w:p>
      <w:pPr>
        <w:spacing w:after="200"/>
        <w:ind w:left="720"/>
        <w:jc w:val="both"/>
      </w:pPr>
      <w:r>
        <w:rPr>
          <w:rFonts w:ascii="Times New Roman" w:cs="Times New Roman" w:eastAsia="Times New Roman" w:hAnsi="Times New Roman"/>
          <w:sz w:val="24"/>
          <w:szCs w:val="24"/>
        </w:rPr>
        <w:t xml:space="preserve">(d) execute, deliver, and perform all contracts, agreements, instruments, and other documents in connection with the Partnership's business;</w:t>
      </w:r>
    </w:p>
    <w:p>
      <w:pPr>
        <w:spacing w:after="200"/>
        <w:ind w:left="720"/>
        <w:jc w:val="both"/>
      </w:pPr>
      <w:r>
        <w:rPr>
          <w:rFonts w:ascii="Times New Roman" w:cs="Times New Roman" w:eastAsia="Times New Roman" w:hAnsi="Times New Roman"/>
          <w:sz w:val="24"/>
          <w:szCs w:val="24"/>
        </w:rPr>
        <w:t xml:space="preserve">(e) engage, compensate, and terminate investment managers, sub-advisers, administrators, custodians, auditors, legal counsel, compliance officers, and other service providers;</w:t>
      </w:r>
    </w:p>
    <w:p>
      <w:pPr>
        <w:spacing w:after="200"/>
        <w:ind w:left="720"/>
        <w:jc w:val="both"/>
      </w:pPr>
      <w:r>
        <w:rPr>
          <w:rFonts w:ascii="Times New Roman" w:cs="Times New Roman" w:eastAsia="Times New Roman" w:hAnsi="Times New Roman"/>
          <w:sz w:val="24"/>
          <w:szCs w:val="24"/>
        </w:rPr>
        <w:t xml:space="preserve">(f) make all tax elections and filings on behalf of the Partnership;</w:t>
      </w:r>
    </w:p>
    <w:p>
      <w:pPr>
        <w:spacing w:after="200"/>
        <w:ind w:left="720"/>
        <w:jc w:val="both"/>
      </w:pPr>
      <w:r>
        <w:rPr>
          <w:rFonts w:ascii="Times New Roman" w:cs="Times New Roman" w:eastAsia="Times New Roman" w:hAnsi="Times New Roman"/>
          <w:sz w:val="24"/>
          <w:szCs w:val="24"/>
        </w:rPr>
        <w:t xml:space="preserve">(g) admit new Limited Partners and accept additional capital contributions;</w:t>
      </w:r>
    </w:p>
    <w:p>
      <w:pPr>
        <w:spacing w:after="200"/>
        <w:ind w:left="720"/>
        <w:jc w:val="both"/>
      </w:pPr>
      <w:r>
        <w:rPr>
          <w:rFonts w:ascii="Times New Roman" w:cs="Times New Roman" w:eastAsia="Times New Roman" w:hAnsi="Times New Roman"/>
          <w:sz w:val="24"/>
          <w:szCs w:val="24"/>
        </w:rPr>
        <w:t xml:space="preserve">(h) establish new Classes or series of Interests;</w:t>
      </w:r>
    </w:p>
    <w:p>
      <w:pPr>
        <w:spacing w:after="200"/>
        <w:ind w:left="720"/>
        <w:jc w:val="both"/>
      </w:pPr>
      <w:r>
        <w:rPr>
          <w:rFonts w:ascii="Times New Roman" w:cs="Times New Roman" w:eastAsia="Times New Roman" w:hAnsi="Times New Roman"/>
          <w:sz w:val="24"/>
          <w:szCs w:val="24"/>
        </w:rPr>
        <w:t xml:space="preserve">(i) establish and operate additional Feeder Funds in any jurisdiction; and</w:t>
      </w:r>
    </w:p>
    <w:p>
      <w:pPr>
        <w:spacing w:after="200"/>
        <w:ind w:left="720"/>
        <w:jc w:val="both"/>
      </w:pPr>
      <w:r>
        <w:rPr>
          <w:rFonts w:ascii="Times New Roman" w:cs="Times New Roman" w:eastAsia="Times New Roman" w:hAnsi="Times New Roman"/>
          <w:sz w:val="24"/>
          <w:szCs w:val="24"/>
        </w:rPr>
        <w:t xml:space="preserve">(j) take all actions that the General Partner deems necessary or desirable to carry out the purposes of the Partnership.</w:t>
      </w:r>
    </w:p>
    <w:p>
      <w:pPr>
        <w:spacing w:after="200"/>
        <w:jc w:val="both"/>
      </w:pPr>
      <w:r>
        <w:rPr>
          <w:rFonts w:ascii="Times New Roman" w:cs="Times New Roman" w:eastAsia="Times New Roman" w:hAnsi="Times New Roman"/>
          <w:b/>
          <w:bCs/>
          <w:sz w:val="24"/>
          <w:szCs w:val="24"/>
        </w:rPr>
        <w:t xml:space="preserve">Section 4.3. Founder Control and Voting Rights.</w:t>
      </w:r>
    </w:p>
    <w:p>
      <w:pPr>
        <w:spacing w:after="200"/>
        <w:jc w:val="both"/>
      </w:pPr>
      <w:r>
        <w:rPr>
          <w:rFonts w:ascii="Times New Roman" w:cs="Times New Roman" w:eastAsia="Times New Roman" w:hAnsi="Times New Roman"/>
          <w:sz w:val="24"/>
          <w:szCs w:val="24"/>
        </w:rPr>
        <w:t xml:space="preserve">(a) The Founder shall serve as the sole managing member and principal of the General Partner. All investment decisions, operational decisions, and governance decisions of the Partnership shall be made by or under the direction of the Founder in his capacity as the controlling person of the General Partner.</w:t>
      </w:r>
    </w:p>
    <w:p>
      <w:pPr>
        <w:spacing w:after="200"/>
        <w:jc w:val="both"/>
      </w:pPr>
      <w:r>
        <w:rPr>
          <w:rFonts w:ascii="Times New Roman" w:cs="Times New Roman" w:eastAsia="Times New Roman" w:hAnsi="Times New Roman"/>
          <w:sz w:val="24"/>
          <w:szCs w:val="24"/>
        </w:rPr>
        <w:t xml:space="preserve">(b) The General Partner shall have the sole and exclusive voting power with respect to all matters requiring a vote or consent of the Partners, except as specifically provided in Section 7.8 (Five Iron Rules) and Section 11.2 (Dissolution).</w:t>
      </w:r>
    </w:p>
    <w:p>
      <w:pPr>
        <w:spacing w:after="200"/>
        <w:jc w:val="both"/>
      </w:pPr>
      <w:r>
        <w:rPr>
          <w:rFonts w:ascii="Times New Roman" w:cs="Times New Roman" w:eastAsia="Times New Roman" w:hAnsi="Times New Roman"/>
          <w:sz w:val="24"/>
          <w:szCs w:val="24"/>
        </w:rPr>
        <w:t xml:space="preserve">(c) No amendment to this Agreement that would diminish or dilute the Founder's control over the General Partner, the Founder's voting rights, or the Founder's equity interest in the General Partner shall be effective without the prior written consent of the Founder.</w:t>
      </w:r>
    </w:p>
    <w:p>
      <w:pPr>
        <w:spacing w:after="200"/>
        <w:jc w:val="both"/>
      </w:pPr>
      <w:r>
        <w:rPr>
          <w:rFonts w:ascii="Times New Roman" w:cs="Times New Roman" w:eastAsia="Times New Roman" w:hAnsi="Times New Roman"/>
          <w:sz w:val="24"/>
          <w:szCs w:val="24"/>
        </w:rPr>
        <w:t xml:space="preserve">(d) In the event of the Founder's death, permanent disability, or voluntary resignation, the General Partner shall appoint a successor managing member in accordance with the succession plan maintained by the General Partner and filed with the Partnership's legal counsel. Until such appointment, the Partnership shall continue in accordance with the investment policies then in effect, and no new investments or material changes to the Alpha Bets 27 Portfolio shall be made.</w:t>
      </w:r>
    </w:p>
    <w:p>
      <w:pPr>
        <w:spacing w:after="200"/>
        <w:jc w:val="both"/>
      </w:pPr>
      <w:r>
        <w:rPr>
          <w:rFonts w:ascii="Times New Roman" w:cs="Times New Roman" w:eastAsia="Times New Roman" w:hAnsi="Times New Roman"/>
          <w:b/>
          <w:bCs/>
          <w:sz w:val="24"/>
          <w:szCs w:val="24"/>
        </w:rPr>
        <w:t xml:space="preserve">Section 4.4. Delegation.</w:t>
      </w:r>
    </w:p>
    <w:p>
      <w:pPr>
        <w:spacing w:after="200"/>
        <w:jc w:val="both"/>
      </w:pPr>
      <w:r>
        <w:rPr>
          <w:rFonts w:ascii="Times New Roman" w:cs="Times New Roman" w:eastAsia="Times New Roman" w:hAnsi="Times New Roman"/>
          <w:sz w:val="24"/>
          <w:szCs w:val="24"/>
        </w:rPr>
        <w:t xml:space="preserve">The General Partner may delegate any of its duties or powers to any officer, employee, agent, or Affiliate of the General Partner, or to any committee established by the General Partner, provided that the General Partner shall remain responsible for the actions and omissions of any such delegate.</w:t>
      </w:r>
    </w:p>
    <w:p>
      <w:pPr>
        <w:spacing w:after="200"/>
        <w:jc w:val="both"/>
      </w:pPr>
      <w:r>
        <w:rPr>
          <w:rFonts w:ascii="Times New Roman" w:cs="Times New Roman" w:eastAsia="Times New Roman" w:hAnsi="Times New Roman"/>
          <w:b/>
          <w:bCs/>
          <w:sz w:val="24"/>
          <w:szCs w:val="24"/>
        </w:rPr>
        <w:t xml:space="preserve">Section 4.5. Other Activities.</w:t>
      </w:r>
    </w:p>
    <w:p>
      <w:pPr>
        <w:spacing w:after="200"/>
        <w:jc w:val="both"/>
      </w:pPr>
      <w:r>
        <w:rPr>
          <w:rFonts w:ascii="Times New Roman" w:cs="Times New Roman" w:eastAsia="Times New Roman" w:hAnsi="Times New Roman"/>
          <w:sz w:val="24"/>
          <w:szCs w:val="24"/>
        </w:rPr>
        <w:t xml:space="preserve">The General Partner, the Founder, and their respective Affiliates may engage in any business or investment activity, including activities that may compete with or be complementary to the Partnership, and shall have no obligation to present any investment opportunity to the Partnership. Neither the General Partner nor the Founder shall be liable to any Limited Partner or the Partnership for any profits earned or opportunities pursued in connection with such other activities.</w:t>
      </w:r>
    </w:p>
    <w:p>
      <w:r>
        <w:br w:type="page"/>
      </w:r>
    </w:p>
    <w:p>
      <w:pPr>
        <w:pStyle w:val="Heading1"/>
      </w:pPr>
      <w:r>
        <w:rPr>
          <w:b/>
          <w:bCs/>
        </w:rPr>
        <w:t xml:space="preserve">ARTICLE V: CAPITAL ACCOUNTS, ALLOCATIONS, AND VALUATIONS</w:t>
      </w:r>
    </w:p>
    <w:p>
      <w:pPr>
        <w:spacing w:after="200"/>
        <w:jc w:val="both"/>
      </w:pPr>
      <w:r>
        <w:rPr>
          <w:rFonts w:ascii="Times New Roman" w:cs="Times New Roman" w:eastAsia="Times New Roman" w:hAnsi="Times New Roman"/>
          <w:b/>
          <w:bCs/>
          <w:sz w:val="24"/>
          <w:szCs w:val="24"/>
        </w:rPr>
        <w:t xml:space="preserve">Section 5.1. Capital Accounts.</w:t>
      </w:r>
    </w:p>
    <w:p>
      <w:pPr>
        <w:spacing w:after="200"/>
        <w:jc w:val="both"/>
      </w:pPr>
      <w:r>
        <w:rPr>
          <w:rFonts w:ascii="Times New Roman" w:cs="Times New Roman" w:eastAsia="Times New Roman" w:hAnsi="Times New Roman"/>
          <w:sz w:val="24"/>
          <w:szCs w:val="24"/>
        </w:rPr>
        <w:t xml:space="preserve">A separate Capital Account shall be maintained for each Partner in accordance with Treasury Regulations Section 1.704-1(b)(2)(iv). Each Partner's Capital Account shall be: (a) increased by (i) the amount of cash contributed by such Partner, (ii) the fair market value of any property contributed by such Partner (net of liabilities assumed by the Partnership), and (iii) allocations to such Partner of Net Profits and items of Partnership income and gain; and (b) decreased by (i) the amount of cash distributed to such Partner, (ii) the fair market value of any property distributed to such Partner (net of liabilities assumed by such Partner), and (iii) allocations to such Partner of Net Losses and items of Partnership deduction and loss.</w:t>
      </w:r>
    </w:p>
    <w:p>
      <w:pPr>
        <w:spacing w:after="200"/>
        <w:jc w:val="both"/>
      </w:pPr>
      <w:r>
        <w:rPr>
          <w:rFonts w:ascii="Times New Roman" w:cs="Times New Roman" w:eastAsia="Times New Roman" w:hAnsi="Times New Roman"/>
          <w:b/>
          <w:bCs/>
          <w:sz w:val="24"/>
          <w:szCs w:val="24"/>
        </w:rPr>
        <w:t xml:space="preserve">Section 5.2. Allocation of Net Profits and Net Losses.</w:t>
      </w:r>
    </w:p>
    <w:p>
      <w:pPr>
        <w:spacing w:after="200"/>
        <w:jc w:val="both"/>
      </w:pPr>
      <w:r>
        <w:rPr>
          <w:rFonts w:ascii="Times New Roman" w:cs="Times New Roman" w:eastAsia="Times New Roman" w:hAnsi="Times New Roman"/>
          <w:sz w:val="24"/>
          <w:szCs w:val="24"/>
        </w:rPr>
        <w:t xml:space="preserve">(a) Net Profits and Net Losses shall be allocated among the Partners as of each Valuation Date in proportion to their respective Capital Account balances, subject to the Performance Allocation described in Section 6.3.</w:t>
      </w:r>
    </w:p>
    <w:p>
      <w:pPr>
        <w:spacing w:after="200"/>
        <w:jc w:val="both"/>
      </w:pPr>
      <w:r>
        <w:rPr>
          <w:rFonts w:ascii="Times New Roman" w:cs="Times New Roman" w:eastAsia="Times New Roman" w:hAnsi="Times New Roman"/>
          <w:sz w:val="24"/>
          <w:szCs w:val="24"/>
        </w:rPr>
        <w:t xml:space="preserve">(b) The General Partner shall make such special allocations as are necessary to comply with the requirements of Sections 704(b) and 704(c) of the Code and the Treasury Regulations thereunder, including the qualified income offset, minimum gain chargeback, and partner nonrecourse deduction allocation provisions.</w:t>
      </w:r>
    </w:p>
    <w:p>
      <w:pPr>
        <w:spacing w:after="200"/>
        <w:jc w:val="both"/>
      </w:pPr>
      <w:r>
        <w:rPr>
          <w:rFonts w:ascii="Times New Roman" w:cs="Times New Roman" w:eastAsia="Times New Roman" w:hAnsi="Times New Roman"/>
          <w:b/>
          <w:bCs/>
          <w:sz w:val="24"/>
          <w:szCs w:val="24"/>
        </w:rPr>
        <w:t xml:space="preserve">Section 5.3. Tax Allocations.</w:t>
      </w:r>
    </w:p>
    <w:p>
      <w:pPr>
        <w:spacing w:after="200"/>
        <w:jc w:val="both"/>
      </w:pPr>
      <w:r>
        <w:rPr>
          <w:rFonts w:ascii="Times New Roman" w:cs="Times New Roman" w:eastAsia="Times New Roman" w:hAnsi="Times New Roman"/>
          <w:sz w:val="24"/>
          <w:szCs w:val="24"/>
        </w:rPr>
        <w:t xml:space="preserve">(a) For United States federal income tax purposes, each item of income, gain, loss, deduction, and credit shall be allocated among the Partners in the same manner as the corresponding book item is allocated pursuant to Section 5.2, subject to the requirements of Section 704(c) of the Code.</w:t>
      </w:r>
    </w:p>
    <w:p>
      <w:pPr>
        <w:spacing w:after="200"/>
        <w:jc w:val="both"/>
      </w:pPr>
      <w:r>
        <w:rPr>
          <w:rFonts w:ascii="Times New Roman" w:cs="Times New Roman" w:eastAsia="Times New Roman" w:hAnsi="Times New Roman"/>
          <w:sz w:val="24"/>
          <w:szCs w:val="24"/>
        </w:rPr>
        <w:t xml:space="preserve">(b) The Partnership shall comply with the BBA partnership audit rules. The General Partner is hereby designated as the "Partnership Representative" within the meaning of Section 6223 of the Code. The General Partner shall have the sole authority to make all decisions with respect to any partnership-level audit or proceeding, including the authority to make any election available under the BBA, including the election under Section 6226 of the Code to push out any imputed underpayment to the reviewed year partners.</w:t>
      </w:r>
    </w:p>
    <w:p>
      <w:pPr>
        <w:spacing w:after="200"/>
        <w:jc w:val="both"/>
      </w:pPr>
      <w:r>
        <w:rPr>
          <w:rFonts w:ascii="Times New Roman" w:cs="Times New Roman" w:eastAsia="Times New Roman" w:hAnsi="Times New Roman"/>
          <w:b/>
          <w:bCs/>
          <w:sz w:val="24"/>
          <w:szCs w:val="24"/>
        </w:rPr>
        <w:t xml:space="preserve">Section 5.4. FATCA and CRS Compliance.</w:t>
      </w:r>
    </w:p>
    <w:p>
      <w:pPr>
        <w:spacing w:after="200"/>
        <w:jc w:val="both"/>
      </w:pPr>
      <w:r>
        <w:rPr>
          <w:rFonts w:ascii="Times New Roman" w:cs="Times New Roman" w:eastAsia="Times New Roman" w:hAnsi="Times New Roman"/>
          <w:sz w:val="24"/>
          <w:szCs w:val="24"/>
        </w:rPr>
        <w:t xml:space="preserve">(a) Each Partner shall provide to the General Partner such information and documentation as the General Partner may request to enable the Partnership to comply with FATCA, the Common Reporting Standard (CRS), and any applicable intergovernmental agreement.</w:t>
      </w:r>
    </w:p>
    <w:p>
      <w:pPr>
        <w:spacing w:after="200"/>
        <w:jc w:val="both"/>
      </w:pPr>
      <w:r>
        <w:rPr>
          <w:rFonts w:ascii="Times New Roman" w:cs="Times New Roman" w:eastAsia="Times New Roman" w:hAnsi="Times New Roman"/>
          <w:sz w:val="24"/>
          <w:szCs w:val="24"/>
        </w:rPr>
        <w:t xml:space="preserve">(b) If any Partner fails to provide required FATCA or CRS documentation, the General Partner may, in its sole discretion: (i) withhold amounts otherwise distributable to such Partner; (ii) compulsorily redeem such Partner's Interest; or (iii) take any other action the General Partner deems necessary to protect the Partnership from adverse tax consequences.</w:t>
      </w:r>
    </w:p>
    <w:p>
      <w:pPr>
        <w:spacing w:after="200"/>
        <w:jc w:val="both"/>
      </w:pPr>
      <w:r>
        <w:rPr>
          <w:rFonts w:ascii="Times New Roman" w:cs="Times New Roman" w:eastAsia="Times New Roman" w:hAnsi="Times New Roman"/>
          <w:b/>
          <w:bCs/>
          <w:sz w:val="24"/>
          <w:szCs w:val="24"/>
        </w:rPr>
        <w:t xml:space="preserve">Section 5.5. Valuation.</w:t>
      </w:r>
    </w:p>
    <w:p>
      <w:pPr>
        <w:spacing w:after="200"/>
        <w:jc w:val="both"/>
      </w:pPr>
      <w:r>
        <w:rPr>
          <w:rFonts w:ascii="Times New Roman" w:cs="Times New Roman" w:eastAsia="Times New Roman" w:hAnsi="Times New Roman"/>
          <w:sz w:val="24"/>
          <w:szCs w:val="24"/>
        </w:rPr>
        <w:t xml:space="preserve">(a) The Net Asset Value of the Partnership shall be determined as of each Valuation Date. All publicly traded securities shall be valued at their closing market price on the relevant exchange as of the Valuation Date (mark-to-market). Options positions shall be valued at their mid-market price based on the closing bid-ask spread.</w:t>
      </w:r>
    </w:p>
    <w:p>
      <w:pPr>
        <w:spacing w:after="200"/>
        <w:jc w:val="both"/>
      </w:pPr>
      <w:r>
        <w:rPr>
          <w:rFonts w:ascii="Times New Roman" w:cs="Times New Roman" w:eastAsia="Times New Roman" w:hAnsi="Times New Roman"/>
          <w:sz w:val="24"/>
          <w:szCs w:val="24"/>
        </w:rPr>
        <w:t xml:space="preserve">(b) United States Treasury obligations shall be valued at their quoted market price or, if no quoted market price is available, at amortized cost.</w:t>
      </w:r>
    </w:p>
    <w:p>
      <w:pPr>
        <w:spacing w:after="200"/>
        <w:jc w:val="both"/>
      </w:pPr>
      <w:r>
        <w:rPr>
          <w:rFonts w:ascii="Times New Roman" w:cs="Times New Roman" w:eastAsia="Times New Roman" w:hAnsi="Times New Roman"/>
          <w:sz w:val="24"/>
          <w:szCs w:val="24"/>
        </w:rPr>
        <w:t xml:space="preserve">(c) The General Partner may, in its sole discretion, engage an independent third-party valuation agent to verify the Partnership's NAV calculations on a quarterly or more frequent basis.</w:t>
      </w:r>
    </w:p>
    <w:p>
      <w:pPr>
        <w:spacing w:after="200"/>
        <w:jc w:val="both"/>
      </w:pPr>
      <w:r>
        <w:rPr>
          <w:rFonts w:ascii="Times New Roman" w:cs="Times New Roman" w:eastAsia="Times New Roman" w:hAnsi="Times New Roman"/>
          <w:sz w:val="24"/>
          <w:szCs w:val="24"/>
        </w:rPr>
        <w:t xml:space="preserve">(d) The Partnership's annual financial statements shall be audited by an independent auditor of recognized international standing selected by the General Partner. The initial auditor shall be [BBA-Compliant Audit Firm to be designated].</w:t>
      </w:r>
    </w:p>
    <w:p>
      <w:r>
        <w:br w:type="page"/>
      </w:r>
    </w:p>
    <w:p>
      <w:pPr>
        <w:pStyle w:val="Heading1"/>
      </w:pPr>
      <w:r>
        <w:rPr>
          <w:b/>
          <w:bCs/>
        </w:rPr>
        <w:t xml:space="preserve">ARTICLE VI: MANAGEMENT FEES AND PERFORMANCE ALLOCATION</w:t>
      </w:r>
    </w:p>
    <w:p>
      <w:pPr>
        <w:spacing w:after="200"/>
        <w:jc w:val="both"/>
      </w:pPr>
      <w:r>
        <w:rPr>
          <w:rFonts w:ascii="Times New Roman" w:cs="Times New Roman" w:eastAsia="Times New Roman" w:hAnsi="Times New Roman"/>
          <w:b/>
          <w:bCs/>
          <w:sz w:val="24"/>
          <w:szCs w:val="24"/>
        </w:rPr>
        <w:t xml:space="preserve">Section 6.1. Management Fee.</w:t>
      </w:r>
    </w:p>
    <w:p>
      <w:pPr>
        <w:spacing w:after="200"/>
        <w:jc w:val="both"/>
      </w:pPr>
      <w:r>
        <w:rPr>
          <w:rFonts w:ascii="Times New Roman" w:cs="Times New Roman" w:eastAsia="Times New Roman" w:hAnsi="Times New Roman"/>
          <w:sz w:val="24"/>
          <w:szCs w:val="24"/>
        </w:rPr>
        <w:t xml:space="preserve">(a) The General Partner shall be entitled to receive a Management Fee from the Partnership, calculated and payable quarterly in advance as of the first Business Day of each calendar quarter, based on the Adjusted NAV of each Limited Partner's Capital Account as of the immediately preceding Valuation Date.</w:t>
      </w:r>
    </w:p>
    <w:p>
      <w:pPr>
        <w:spacing w:after="200"/>
        <w:jc w:val="both"/>
      </w:pPr>
      <w:r>
        <w:rPr>
          <w:rFonts w:ascii="Times New Roman" w:cs="Times New Roman" w:eastAsia="Times New Roman" w:hAnsi="Times New Roman"/>
          <w:sz w:val="24"/>
          <w:szCs w:val="24"/>
        </w:rPr>
        <w:t xml:space="preserve">(b) The Management Fee shall be calculated at the following annualized rates, applied at the individual Limited Partner account level based on such Limited Partner's Capital Account balance:</w:t>
      </w:r>
    </w:p>
    <w:p>
      <w:pPr>
        <w:spacing w:after="200"/>
        <w:ind w:left="720"/>
        <w:jc w:val="both"/>
      </w:pPr>
      <w:r>
        <w:rPr>
          <w:rFonts w:ascii="Times New Roman" w:cs="Times New Roman" w:eastAsia="Times New Roman" w:hAnsi="Times New Roman"/>
          <w:sz w:val="24"/>
          <w:szCs w:val="24"/>
        </w:rPr>
        <w:t xml:space="preserve">(i) For Class A Interests: 1.69% per annum on the first $100,000,000; 1.19% per annum on amounts from $100,000,001 to $500,000,000; and 0.69% per annum on amounts in excess of $500,000,000;</w:t>
      </w:r>
    </w:p>
    <w:p>
      <w:pPr>
        <w:spacing w:after="200"/>
        <w:ind w:left="720"/>
        <w:jc w:val="both"/>
      </w:pPr>
      <w:r>
        <w:rPr>
          <w:rFonts w:ascii="Times New Roman" w:cs="Times New Roman" w:eastAsia="Times New Roman" w:hAnsi="Times New Roman"/>
          <w:sz w:val="24"/>
          <w:szCs w:val="24"/>
        </w:rPr>
        <w:t xml:space="preserve">(ii) For Class B Interests: 1.19% per annum on all assets;</w:t>
      </w:r>
    </w:p>
    <w:p>
      <w:pPr>
        <w:spacing w:after="200"/>
        <w:ind w:left="720"/>
        <w:jc w:val="both"/>
      </w:pPr>
      <w:r>
        <w:rPr>
          <w:rFonts w:ascii="Times New Roman" w:cs="Times New Roman" w:eastAsia="Times New Roman" w:hAnsi="Times New Roman"/>
          <w:sz w:val="24"/>
          <w:szCs w:val="24"/>
        </w:rPr>
        <w:t xml:space="preserve">(iii) For Class C Interests: 1.49% per annum on all assets;</w:t>
      </w:r>
    </w:p>
    <w:p>
      <w:pPr>
        <w:spacing w:after="200"/>
        <w:ind w:left="720"/>
        <w:jc w:val="both"/>
      </w:pPr>
      <w:r>
        <w:rPr>
          <w:rFonts w:ascii="Times New Roman" w:cs="Times New Roman" w:eastAsia="Times New Roman" w:hAnsi="Times New Roman"/>
          <w:sz w:val="24"/>
          <w:szCs w:val="24"/>
        </w:rPr>
        <w:t xml:space="preserve">(iv) For Class I Interests: 0.69% per annum on all assets;</w:t>
      </w:r>
    </w:p>
    <w:p>
      <w:pPr>
        <w:spacing w:after="200"/>
        <w:ind w:left="720"/>
        <w:jc w:val="both"/>
      </w:pPr>
      <w:r>
        <w:rPr>
          <w:rFonts w:ascii="Times New Roman" w:cs="Times New Roman" w:eastAsia="Times New Roman" w:hAnsi="Times New Roman"/>
          <w:sz w:val="24"/>
          <w:szCs w:val="24"/>
        </w:rPr>
        <w:t xml:space="preserve">(v) For Class S Interests: 0.00% per annum; and</w:t>
      </w:r>
    </w:p>
    <w:p>
      <w:pPr>
        <w:spacing w:after="200"/>
        <w:ind w:left="720"/>
        <w:jc w:val="both"/>
      </w:pPr>
      <w:r>
        <w:rPr>
          <w:rFonts w:ascii="Times New Roman" w:cs="Times New Roman" w:eastAsia="Times New Roman" w:hAnsi="Times New Roman"/>
          <w:sz w:val="24"/>
          <w:szCs w:val="24"/>
        </w:rPr>
        <w:t xml:space="preserve">(vi) For Class F Interests: 0.00% per annum.</w:t>
      </w:r>
    </w:p>
    <w:p>
      <w:pPr>
        <w:spacing w:after="200"/>
        <w:jc w:val="both"/>
      </w:pPr>
      <w:r>
        <w:rPr>
          <w:rFonts w:ascii="Times New Roman" w:cs="Times New Roman" w:eastAsia="Times New Roman" w:hAnsi="Times New Roman"/>
          <w:sz w:val="24"/>
          <w:szCs w:val="24"/>
        </w:rPr>
        <w:t xml:space="preserve">(c) The Management Fee is intended to cover the General Partner's actual operational costs including technology infrastructure, data and research, compliance, administration, and personnel. The tiered structure is designed to decrease the effective Management Fee rate as the Partnership's assets under management grow, aligning the General Partner's interests with long-term asset growth. The General Partner's primary economic incentive is the Performance Allocation.</w:t>
      </w:r>
    </w:p>
    <w:p>
      <w:pPr>
        <w:spacing w:after="200"/>
        <w:jc w:val="both"/>
      </w:pPr>
      <w:r>
        <w:rPr>
          <w:rFonts w:ascii="Times New Roman" w:cs="Times New Roman" w:eastAsia="Times New Roman" w:hAnsi="Times New Roman"/>
          <w:sz w:val="24"/>
          <w:szCs w:val="24"/>
        </w:rPr>
        <w:t xml:space="preserve">(d) For any partial calendar quarter, the Management Fee shall be prorated based on the actual number of days in such partial quarter divided by the actual number of days in such full calendar quarter.</w:t>
      </w:r>
    </w:p>
    <w:p>
      <w:pPr>
        <w:spacing w:after="200"/>
        <w:jc w:val="both"/>
      </w:pPr>
      <w:r>
        <w:rPr>
          <w:rFonts w:ascii="Times New Roman" w:cs="Times New Roman" w:eastAsia="Times New Roman" w:hAnsi="Times New Roman"/>
          <w:b/>
          <w:bCs/>
          <w:sz w:val="24"/>
          <w:szCs w:val="24"/>
        </w:rPr>
        <w:t xml:space="preserve">Section 6.2. Partnership Expenses.</w:t>
      </w:r>
    </w:p>
    <w:p>
      <w:pPr>
        <w:spacing w:after="200"/>
        <w:jc w:val="both"/>
      </w:pPr>
      <w:r>
        <w:rPr>
          <w:rFonts w:ascii="Times New Roman" w:cs="Times New Roman" w:eastAsia="Times New Roman" w:hAnsi="Times New Roman"/>
          <w:sz w:val="24"/>
          <w:szCs w:val="24"/>
        </w:rPr>
        <w:t xml:space="preserve">In addition to the Management Fee, the Partnership shall bear all costs and expenses incurred in connection with its operations, including: (a) brokerage commissions, clearing fees, and other transaction costs; (b) prime brokerage fees and margin interest; (c) legal, audit, and tax preparation fees; (d) administration and fund accounting fees; (e) regulatory filing fees; (f) insurance premiums; (g) technology and data service costs related to the DNSA Engine; (h) investor relations and reporting costs; and (i) any taxes, fees, or governmental charges imposed on the Partnership or its assets.</w:t>
      </w:r>
    </w:p>
    <w:p>
      <w:pPr>
        <w:spacing w:after="200"/>
        <w:jc w:val="both"/>
      </w:pPr>
      <w:r>
        <w:rPr>
          <w:rFonts w:ascii="Times New Roman" w:cs="Times New Roman" w:eastAsia="Times New Roman" w:hAnsi="Times New Roman"/>
          <w:b/>
          <w:bCs/>
          <w:sz w:val="24"/>
          <w:szCs w:val="24"/>
        </w:rPr>
        <w:t xml:space="preserve">Section 6.3. Performance Allocation.</w:t>
      </w:r>
    </w:p>
    <w:p>
      <w:pPr>
        <w:spacing w:after="200"/>
        <w:jc w:val="both"/>
      </w:pPr>
      <w:r>
        <w:rPr>
          <w:rFonts w:ascii="Times New Roman" w:cs="Times New Roman" w:eastAsia="Times New Roman" w:hAnsi="Times New Roman"/>
          <w:sz w:val="24"/>
          <w:szCs w:val="24"/>
        </w:rPr>
        <w:t xml:space="preserve">(a) As of the end of each Performance Period, the General Partner shall be allocated fifteen percent (15%) of the net appreciation in each Limited Partner's Capital Account in excess of the Hurdle Rate, subject to the High-Water Mark (the "Performance Allocation").</w:t>
      </w:r>
    </w:p>
    <w:p>
      <w:pPr>
        <w:spacing w:after="200"/>
        <w:jc w:val="both"/>
      </w:pPr>
      <w:r>
        <w:rPr>
          <w:rFonts w:ascii="Times New Roman" w:cs="Times New Roman" w:eastAsia="Times New Roman" w:hAnsi="Times New Roman"/>
          <w:sz w:val="24"/>
          <w:szCs w:val="24"/>
        </w:rPr>
        <w:t xml:space="preserve">(b) The Performance Allocation shall be calculated separately for each Limited Partner's Capital Account, with a separate High-Water Mark maintained for each.</w:t>
      </w:r>
    </w:p>
    <w:p>
      <w:pPr>
        <w:spacing w:after="200"/>
        <w:jc w:val="both"/>
      </w:pPr>
      <w:r>
        <w:rPr>
          <w:rFonts w:ascii="Times New Roman" w:cs="Times New Roman" w:eastAsia="Times New Roman" w:hAnsi="Times New Roman"/>
          <w:sz w:val="24"/>
          <w:szCs w:val="24"/>
        </w:rPr>
        <w:t xml:space="preserve">(c) High-Water Mark: No Performance Allocation shall be made with respect to any Limited Partner's Capital Account unless and until the Adjusted NAV per Interest attributable to such Capital Account exceeds the highest Adjusted NAV per Interest achieved as of the end of any prior Performance Period since such Limited Partner's admission. The High-Water Mark is permanent and shall never be reset, except in connection with the admission of a new Limited Partner (whose High-Water Mark shall initially be set at such Limited Partner's initial NAV per Interest).</w:t>
      </w:r>
    </w:p>
    <w:p>
      <w:pPr>
        <w:spacing w:after="200"/>
        <w:jc w:val="both"/>
      </w:pPr>
      <w:r>
        <w:rPr>
          <w:rFonts w:ascii="Times New Roman" w:cs="Times New Roman" w:eastAsia="Times New Roman" w:hAnsi="Times New Roman"/>
          <w:sz w:val="24"/>
          <w:szCs w:val="24"/>
        </w:rPr>
        <w:t xml:space="preserve">(d) Hurdle Rate Calculation: The Hurdle Rate shall be calculated on a cumulative, compounding basis from the later of (i) the date of the Limited Partner's admission or (ii) the date on which the most recent High-Water Mark was established. The annualized Hurdle Rate shall be equal to the total return of the Global Index over the applicable measurement period, plus two hundred basis points (200 bps) per annum, compounded annually.</w:t>
      </w:r>
    </w:p>
    <w:p>
      <w:pPr>
        <w:spacing w:after="200"/>
        <w:jc w:val="both"/>
      </w:pPr>
      <w:r>
        <w:rPr>
          <w:rFonts w:ascii="Times New Roman" w:cs="Times New Roman" w:eastAsia="Times New Roman" w:hAnsi="Times New Roman"/>
          <w:sz w:val="24"/>
          <w:szCs w:val="24"/>
        </w:rPr>
        <w:t xml:space="preserve">(e) Crystallization: The Performance Allocation shall crystallize (become irrevocable) as of the last day of each fiscal year. Once crystallized, a Performance Allocation shall not be subject to clawback.</w:t>
      </w:r>
    </w:p>
    <w:p>
      <w:pPr>
        <w:spacing w:after="200"/>
        <w:jc w:val="both"/>
      </w:pPr>
      <w:r>
        <w:rPr>
          <w:rFonts w:ascii="Times New Roman" w:cs="Times New Roman" w:eastAsia="Times New Roman" w:hAnsi="Times New Roman"/>
          <w:sz w:val="24"/>
          <w:szCs w:val="24"/>
        </w:rPr>
        <w:t xml:space="preserve">(f) Class F Interests held by the Founder and the General Partner shall not be subject to any Performance Allocation.</w:t>
      </w:r>
    </w:p>
    <w:p>
      <w:pPr>
        <w:spacing w:after="200"/>
        <w:jc w:val="both"/>
      </w:pPr>
      <w:r>
        <w:rPr>
          <w:rFonts w:ascii="Times New Roman" w:cs="Times New Roman" w:eastAsia="Times New Roman" w:hAnsi="Times New Roman"/>
          <w:b/>
          <w:bCs/>
          <w:sz w:val="24"/>
          <w:szCs w:val="24"/>
        </w:rPr>
        <w:t xml:space="preserve">Section 6.4. Fee Transparency and Reporting.</w:t>
      </w:r>
    </w:p>
    <w:p>
      <w:pPr>
        <w:spacing w:after="200"/>
        <w:jc w:val="both"/>
      </w:pPr>
      <w:r>
        <w:rPr>
          <w:rFonts w:ascii="Times New Roman" w:cs="Times New Roman" w:eastAsia="Times New Roman" w:hAnsi="Times New Roman"/>
          <w:sz w:val="24"/>
          <w:szCs w:val="24"/>
        </w:rPr>
        <w:t xml:space="preserve">The General Partner shall provide each Limited Partner with a quarterly fee statement showing: (a) the applicable Management Fee rate and amount charged; (b) the cumulative High-Water Mark; (c) the Hurdle Rate threshold; (d) the Performance Allocation calculated and/or crystallized; and (e) all Partnership expenses allocated to such Limited Partner's Capital Account.</w:t>
      </w:r>
    </w:p>
    <w:p>
      <w:r>
        <w:br w:type="page"/>
      </w:r>
    </w:p>
    <w:p>
      <w:pPr>
        <w:pStyle w:val="Heading1"/>
      </w:pPr>
      <w:r>
        <w:rPr>
          <w:b/>
          <w:bCs/>
        </w:rPr>
        <w:t xml:space="preserve">ARTICLE VII: INVESTMENT PROGRAM, RISK MANAGEMENT, AND THE FIVE IRON RULES</w:t>
      </w:r>
    </w:p>
    <w:p>
      <w:pPr>
        <w:spacing w:after="200"/>
        <w:jc w:val="both"/>
      </w:pPr>
      <w:r>
        <w:rPr>
          <w:rFonts w:ascii="Times New Roman" w:cs="Times New Roman" w:eastAsia="Times New Roman" w:hAnsi="Times New Roman"/>
          <w:b/>
          <w:bCs/>
          <w:sz w:val="24"/>
          <w:szCs w:val="24"/>
        </w:rPr>
        <w:t xml:space="preserve">Section 7.1. Investment Program Overview.</w:t>
      </w:r>
    </w:p>
    <w:p>
      <w:pPr>
        <w:spacing w:after="200"/>
        <w:jc w:val="both"/>
      </w:pPr>
      <w:r>
        <w:rPr>
          <w:rFonts w:ascii="Times New Roman" w:cs="Times New Roman" w:eastAsia="Times New Roman" w:hAnsi="Times New Roman"/>
          <w:sz w:val="24"/>
          <w:szCs w:val="24"/>
        </w:rPr>
        <w:t xml:space="preserve">The Partnership shall pursue the Investment Objective through the integrated operation of three core components: (a) the Alpha Bets 27 Portfolio (equity positions in the world's highest absolute free cash flow generating businesses); (b) the DNSA Engine (systematic covered call writing and cash-secured put selling); and (c) the T-Bill Reserve (short-term Treasury obligations serving as yield, collateral, and liquidity buffer).</w:t>
      </w:r>
    </w:p>
    <w:p>
      <w:pPr>
        <w:spacing w:after="200"/>
        <w:jc w:val="both"/>
      </w:pPr>
      <w:r>
        <w:rPr>
          <w:rFonts w:ascii="Times New Roman" w:cs="Times New Roman" w:eastAsia="Times New Roman" w:hAnsi="Times New Roman"/>
          <w:b/>
          <w:bCs/>
          <w:sz w:val="24"/>
          <w:szCs w:val="24"/>
        </w:rPr>
        <w:t xml:space="preserve">Section 7.2. Alpha Bets 27 Portfolio Construction.</w:t>
      </w:r>
    </w:p>
    <w:p>
      <w:pPr>
        <w:spacing w:after="200"/>
        <w:jc w:val="both"/>
      </w:pPr>
      <w:r>
        <w:rPr>
          <w:rFonts w:ascii="Times New Roman" w:cs="Times New Roman" w:eastAsia="Times New Roman" w:hAnsi="Times New Roman"/>
          <w:sz w:val="24"/>
          <w:szCs w:val="24"/>
        </w:rPr>
        <w:t xml:space="preserve">(a) The Alpha Bets 27 Portfolio shall consist of up to twenty-seven (27) equity positions organized into four tiers based on absolute free cash flow magnitude (or net income for Financial Sector Holdings):</w:t>
      </w:r>
    </w:p>
    <w:p>
      <w:pPr>
        <w:spacing w:after="200"/>
        <w:ind w:left="720"/>
        <w:jc w:val="both"/>
      </w:pPr>
      <w:r>
        <w:rPr>
          <w:rFonts w:ascii="Times New Roman" w:cs="Times New Roman" w:eastAsia="Times New Roman" w:hAnsi="Times New Roman"/>
          <w:sz w:val="24"/>
          <w:szCs w:val="24"/>
        </w:rPr>
        <w:t xml:space="preserve">(i) Aces: Positions generating in excess of $50 billion in trailing twelve-month FCF (or net income);</w:t>
      </w:r>
    </w:p>
    <w:p>
      <w:pPr>
        <w:spacing w:after="200"/>
        <w:ind w:left="720"/>
        <w:jc w:val="both"/>
      </w:pPr>
      <w:r>
        <w:rPr>
          <w:rFonts w:ascii="Times New Roman" w:cs="Times New Roman" w:eastAsia="Times New Roman" w:hAnsi="Times New Roman"/>
          <w:sz w:val="24"/>
          <w:szCs w:val="24"/>
        </w:rPr>
        <w:t xml:space="preserve">(ii) Kings: Positions generating between $25 billion and $50 billion in trailing twelve-month FCF (or net income);</w:t>
      </w:r>
    </w:p>
    <w:p>
      <w:pPr>
        <w:spacing w:after="200"/>
        <w:ind w:left="720"/>
        <w:jc w:val="both"/>
      </w:pPr>
      <w:r>
        <w:rPr>
          <w:rFonts w:ascii="Times New Roman" w:cs="Times New Roman" w:eastAsia="Times New Roman" w:hAnsi="Times New Roman"/>
          <w:sz w:val="24"/>
          <w:szCs w:val="24"/>
        </w:rPr>
        <w:t xml:space="preserve">(iii) Queens: Positions generating between $10 billion and $25 billion in trailing twelve-month FCF (or net income); and</w:t>
      </w:r>
    </w:p>
    <w:p>
      <w:pPr>
        <w:spacing w:after="200"/>
        <w:ind w:left="720"/>
        <w:jc w:val="both"/>
      </w:pPr>
      <w:r>
        <w:rPr>
          <w:rFonts w:ascii="Times New Roman" w:cs="Times New Roman" w:eastAsia="Times New Roman" w:hAnsi="Times New Roman"/>
          <w:sz w:val="24"/>
          <w:szCs w:val="24"/>
        </w:rPr>
        <w:t xml:space="preserve">(iv) Jacks: Positions generating between $5 billion and $10 billion in trailing twelve-month FCF (or net income) with demonstrated growth trajectories.</w:t>
      </w:r>
    </w:p>
    <w:p>
      <w:pPr>
        <w:spacing w:after="200"/>
        <w:jc w:val="both"/>
      </w:pPr>
      <w:r>
        <w:rPr>
          <w:rFonts w:ascii="Times New Roman" w:cs="Times New Roman" w:eastAsia="Times New Roman" w:hAnsi="Times New Roman"/>
          <w:sz w:val="24"/>
          <w:szCs w:val="24"/>
        </w:rPr>
        <w:t xml:space="preserve">(b) Each position within the Alpha Bets 27 Portfolio shall be weighted according to its FCF Contribution Weight, recalculated quarterly based on the most recently available trailing twelve-month financial data.</w:t>
      </w:r>
    </w:p>
    <w:p>
      <w:pPr>
        <w:spacing w:after="200"/>
        <w:jc w:val="both"/>
      </w:pPr>
      <w:r>
        <w:rPr>
          <w:rFonts w:ascii="Times New Roman" w:cs="Times New Roman" w:eastAsia="Times New Roman" w:hAnsi="Times New Roman"/>
          <w:sz w:val="24"/>
          <w:szCs w:val="24"/>
        </w:rPr>
        <w:t xml:space="preserve">(c) The General Partner shall review and rebalance the Alpha Bets 27 Portfolio on a quarterly basis, with such rebalancing to be accomplished primarily through the directed options activity of the DNSA Engine (put selling to increase underweight positions, call selling on overweight positions) rather than through outright equity sales, except as necessitated by Iron Rule compliance or extraordinary circumstances.</w:t>
      </w:r>
    </w:p>
    <w:p>
      <w:pPr>
        <w:spacing w:after="200"/>
        <w:jc w:val="both"/>
      </w:pPr>
      <w:r>
        <w:rPr>
          <w:rFonts w:ascii="Times New Roman" w:cs="Times New Roman" w:eastAsia="Times New Roman" w:hAnsi="Times New Roman"/>
          <w:b/>
          <w:bCs/>
          <w:sz w:val="24"/>
          <w:szCs w:val="24"/>
        </w:rPr>
        <w:t xml:space="preserve">Section 7.3. DNSA Engine Operations.</w:t>
      </w:r>
    </w:p>
    <w:p>
      <w:pPr>
        <w:spacing w:after="200"/>
        <w:jc w:val="both"/>
      </w:pPr>
      <w:r>
        <w:rPr>
          <w:rFonts w:ascii="Times New Roman" w:cs="Times New Roman" w:eastAsia="Times New Roman" w:hAnsi="Times New Roman"/>
          <w:sz w:val="24"/>
          <w:szCs w:val="24"/>
        </w:rPr>
        <w:t xml:space="preserve">(a) The DNSA Engine shall execute covered calls against Equity Sleeve positions when implied volatility rank exceeds the 70th percentile on a 52-week lookback and the underlying security exhibits overbought technical conditions as determined by the General Partner's proprietary indicators.</w:t>
      </w:r>
    </w:p>
    <w:p>
      <w:pPr>
        <w:spacing w:after="200"/>
        <w:jc w:val="both"/>
      </w:pPr>
      <w:r>
        <w:rPr>
          <w:rFonts w:ascii="Times New Roman" w:cs="Times New Roman" w:eastAsia="Times New Roman" w:hAnsi="Times New Roman"/>
          <w:sz w:val="24"/>
          <w:szCs w:val="24"/>
        </w:rPr>
        <w:t xml:space="preserve">(b) The DNSA Engine shall execute cash-secured puts against the T-Bill Reserve collateral on Alpha Bets 27 positions that are underweight relative to their FCF Contribution Weight, when oversold conditions are indicated by the General Partner's proprietary fear indicators.</w:t>
      </w:r>
    </w:p>
    <w:p>
      <w:pPr>
        <w:spacing w:after="200"/>
        <w:jc w:val="both"/>
      </w:pPr>
      <w:r>
        <w:rPr>
          <w:rFonts w:ascii="Times New Roman" w:cs="Times New Roman" w:eastAsia="Times New Roman" w:hAnsi="Times New Roman"/>
          <w:sz w:val="24"/>
          <w:szCs w:val="24"/>
        </w:rPr>
        <w:t xml:space="preserve">(c) All option premium income generated by the DNSA Engine shall be reinvested pursuant to the DRIP-ON methodology into additional shares of Alpha Bets 27 positions in accordance with the FCF Contribution Weight rebalancing targets.</w:t>
      </w:r>
    </w:p>
    <w:p>
      <w:pPr>
        <w:spacing w:after="200"/>
        <w:jc w:val="both"/>
      </w:pPr>
      <w:r>
        <w:rPr>
          <w:rFonts w:ascii="Times New Roman" w:cs="Times New Roman" w:eastAsia="Times New Roman" w:hAnsi="Times New Roman"/>
          <w:b/>
          <w:bCs/>
          <w:sz w:val="24"/>
          <w:szCs w:val="24"/>
        </w:rPr>
        <w:t xml:space="preserve">Section 7.4. Leverage Policy.</w:t>
      </w:r>
    </w:p>
    <w:p>
      <w:pPr>
        <w:spacing w:after="200"/>
        <w:jc w:val="both"/>
      </w:pPr>
      <w:r>
        <w:rPr>
          <w:rFonts w:ascii="Times New Roman" w:cs="Times New Roman" w:eastAsia="Times New Roman" w:hAnsi="Times New Roman"/>
          <w:sz w:val="24"/>
          <w:szCs w:val="24"/>
        </w:rPr>
        <w:t xml:space="preserve">(a) The maximum leverage employed against the Equity Sleeve shall not exceed seventy percent (70%) Loan-to-Value at any time.</w:t>
      </w:r>
    </w:p>
    <w:p>
      <w:pPr>
        <w:spacing w:after="200"/>
        <w:jc w:val="both"/>
      </w:pPr>
      <w:r>
        <w:rPr>
          <w:rFonts w:ascii="Times New Roman" w:cs="Times New Roman" w:eastAsia="Times New Roman" w:hAnsi="Times New Roman"/>
          <w:sz w:val="24"/>
          <w:szCs w:val="24"/>
        </w:rPr>
        <w:t xml:space="preserve">(b) The maximum leverage employed against the T-Bill Reserve shall not exceed ninety-nine percent (99%) Loan-to-Value at any time.</w:t>
      </w:r>
    </w:p>
    <w:p>
      <w:pPr>
        <w:spacing w:after="200"/>
        <w:jc w:val="both"/>
      </w:pPr>
      <w:r>
        <w:rPr>
          <w:rFonts w:ascii="Times New Roman" w:cs="Times New Roman" w:eastAsia="Times New Roman" w:hAnsi="Times New Roman"/>
          <w:sz w:val="24"/>
          <w:szCs w:val="24"/>
        </w:rPr>
        <w:t xml:space="preserve">(c) The General Partner shall maintain a real-time leverage monitoring system and shall take immediate corrective action if leverage limits are approached or breached.</w:t>
      </w:r>
    </w:p>
    <w:p>
      <w:pPr>
        <w:spacing w:after="200"/>
        <w:jc w:val="both"/>
      </w:pPr>
      <w:r>
        <w:rPr>
          <w:rFonts w:ascii="Times New Roman" w:cs="Times New Roman" w:eastAsia="Times New Roman" w:hAnsi="Times New Roman"/>
          <w:sz w:val="24"/>
          <w:szCs w:val="24"/>
        </w:rPr>
        <w:t xml:space="preserve">(d) Aggregate fund-level leverage (total borrowings divided by total NAV) shall not exceed sixty percent (60%) at any time.</w:t>
      </w:r>
    </w:p>
    <w:p>
      <w:pPr>
        <w:spacing w:after="200"/>
        <w:jc w:val="both"/>
      </w:pPr>
      <w:r>
        <w:rPr>
          <w:rFonts w:ascii="Times New Roman" w:cs="Times New Roman" w:eastAsia="Times New Roman" w:hAnsi="Times New Roman"/>
          <w:b/>
          <w:bCs/>
          <w:sz w:val="24"/>
          <w:szCs w:val="24"/>
        </w:rPr>
        <w:t xml:space="preserve">Section 7.5. T-Bill Reserve Management.</w:t>
      </w:r>
    </w:p>
    <w:p>
      <w:pPr>
        <w:spacing w:after="200"/>
        <w:jc w:val="both"/>
      </w:pPr>
      <w:r>
        <w:rPr>
          <w:rFonts w:ascii="Times New Roman" w:cs="Times New Roman" w:eastAsia="Times New Roman" w:hAnsi="Times New Roman"/>
          <w:sz w:val="24"/>
          <w:szCs w:val="24"/>
        </w:rPr>
        <w:t xml:space="preserve">(a) The Partnership shall maintain a T-Bill Reserve of approximately twenty-two percent (22%) of total Partnership assets, invested exclusively in United States Treasury obligations with maturities of twelve (12) months or less.</w:t>
      </w:r>
    </w:p>
    <w:p>
      <w:pPr>
        <w:spacing w:after="200"/>
        <w:jc w:val="both"/>
      </w:pPr>
      <w:r>
        <w:rPr>
          <w:rFonts w:ascii="Times New Roman" w:cs="Times New Roman" w:eastAsia="Times New Roman" w:hAnsi="Times New Roman"/>
          <w:sz w:val="24"/>
          <w:szCs w:val="24"/>
        </w:rPr>
        <w:t xml:space="preserve">(b) The T-Bill Reserve shall serve three simultaneous functions: (i) yield generation from Treasury interest; (ii) collateral for cash-secured put writing by the DNSA Engine; and (iii) liquidity buffer for Limited Partner redemptions and operational expenses.</w:t>
      </w:r>
    </w:p>
    <w:p>
      <w:pPr>
        <w:spacing w:after="200"/>
        <w:jc w:val="both"/>
      </w:pPr>
      <w:r>
        <w:rPr>
          <w:rFonts w:ascii="Times New Roman" w:cs="Times New Roman" w:eastAsia="Times New Roman" w:hAnsi="Times New Roman"/>
          <w:sz w:val="24"/>
          <w:szCs w:val="24"/>
        </w:rPr>
        <w:t xml:space="preserve">(c) The General Partner shall maintain a Put Capacity Manager that tracks aggregate put assignment exposure as a percentage of T-Bill Reserve collateral and shall cease new put sales when aggregate assignment exposure exceeds seventy percent (70%) of the T-Bill Reserve value.</w:t>
      </w:r>
    </w:p>
    <w:p>
      <w:pPr>
        <w:spacing w:after="200"/>
        <w:jc w:val="both"/>
      </w:pPr>
      <w:r>
        <w:rPr>
          <w:rFonts w:ascii="Times New Roman" w:cs="Times New Roman" w:eastAsia="Times New Roman" w:hAnsi="Times New Roman"/>
          <w:b/>
          <w:bCs/>
          <w:sz w:val="24"/>
          <w:szCs w:val="24"/>
        </w:rPr>
        <w:t xml:space="preserve">Section 7.6. DRIP-ON Methodology.</w:t>
      </w:r>
    </w:p>
    <w:p>
      <w:pPr>
        <w:spacing w:after="200"/>
        <w:jc w:val="both"/>
      </w:pPr>
      <w:r>
        <w:rPr>
          <w:rFonts w:ascii="Times New Roman" w:cs="Times New Roman" w:eastAsia="Times New Roman" w:hAnsi="Times New Roman"/>
          <w:sz w:val="24"/>
          <w:szCs w:val="24"/>
        </w:rPr>
        <w:t xml:space="preserve">All income generated by the Partnership, including option premium, dividend income, and Treasury interest, shall be automatically reinvested into additional shares of Alpha Bets 27 positions in accordance with the FCF Contribution Weight targets. No income shall be distributed to Partners except upon redemption. The DRIP-ON methodology is integral to the Investment Objective and represents the second compounding engine of the Partnership's strategy.</w:t>
      </w:r>
    </w:p>
    <w:p>
      <w:pPr>
        <w:spacing w:after="200"/>
        <w:jc w:val="both"/>
      </w:pPr>
      <w:r>
        <w:rPr>
          <w:rFonts w:ascii="Times New Roman" w:cs="Times New Roman" w:eastAsia="Times New Roman" w:hAnsi="Times New Roman"/>
          <w:b/>
          <w:bCs/>
          <w:sz w:val="24"/>
          <w:szCs w:val="24"/>
        </w:rPr>
        <w:t xml:space="preserve">Section 7.7. Risk Management.</w:t>
      </w:r>
    </w:p>
    <w:p>
      <w:pPr>
        <w:spacing w:after="200"/>
        <w:jc w:val="both"/>
      </w:pPr>
      <w:r>
        <w:rPr>
          <w:rFonts w:ascii="Times New Roman" w:cs="Times New Roman" w:eastAsia="Times New Roman" w:hAnsi="Times New Roman"/>
          <w:sz w:val="24"/>
          <w:szCs w:val="24"/>
        </w:rPr>
        <w:t xml:space="preserve">(a) The General Partner shall maintain comprehensive risk management systems monitoring: (i) position-level and portfolio-level exposure; (ii) options Greeks and assignment risk; (iii) leverage utilization relative to limits; (iv) liquidity adequacy; (v) counterparty exposure across Prime Brokers; and (vi) compliance with the Five Iron Rules.</w:t>
      </w:r>
    </w:p>
    <w:p>
      <w:pPr>
        <w:spacing w:after="200"/>
        <w:jc w:val="both"/>
      </w:pPr>
      <w:r>
        <w:rPr>
          <w:rFonts w:ascii="Times New Roman" w:cs="Times New Roman" w:eastAsia="Times New Roman" w:hAnsi="Times New Roman"/>
          <w:sz w:val="24"/>
          <w:szCs w:val="24"/>
        </w:rPr>
        <w:t xml:space="preserve">(b) The General Partner shall appoint a Chief Compliance Officer who shall be responsible for monitoring compliance with this Agreement, applicable regulatory requirements, and the Partnership's internal risk management policies.</w:t>
      </w:r>
    </w:p>
    <w:p>
      <w:pPr>
        <w:spacing w:after="200"/>
        <w:jc w:val="both"/>
      </w:pPr>
      <w:r>
        <w:rPr>
          <w:rFonts w:ascii="Times New Roman" w:cs="Times New Roman" w:eastAsia="Times New Roman" w:hAnsi="Times New Roman"/>
          <w:b/>
          <w:bCs/>
          <w:sz w:val="24"/>
          <w:szCs w:val="24"/>
        </w:rPr>
        <w:t xml:space="preserve">Section 7.8. The Five Iron Rules.</w:t>
      </w:r>
    </w:p>
    <w:p>
      <w:pPr>
        <w:spacing w:after="200"/>
        <w:jc w:val="both"/>
      </w:pPr>
      <w:r>
        <w:rPr>
          <w:rFonts w:ascii="Times New Roman" w:cs="Times New Roman" w:eastAsia="Times New Roman" w:hAnsi="Times New Roman"/>
          <w:b/>
          <w:bCs/>
          <w:sz w:val="24"/>
          <w:szCs w:val="24"/>
        </w:rPr>
        <w:t xml:space="preserve">THE FOLLOWING FIVE IRON RULES ARE CONSTITUTIONAL PROVISIONS OF THE PARTNERSHIP. THEY MAY NOT BE AMENDED, MODIFIED, SUSPENDED, OR WAIVED WITHOUT THE PRIOR UNANIMOUS WRITTEN CONSENT OF ALL PARTNERS (INCLUDING THE GENERAL PARTNER AND EVERY LIMITED PARTNER):</w:t>
      </w:r>
    </w:p>
    <w:p>
      <w:pPr>
        <w:spacing w:after="200"/>
        <w:ind w:left="720"/>
        <w:jc w:val="both"/>
      </w:pPr>
      <w:r>
        <w:rPr>
          <w:rFonts w:ascii="Times New Roman" w:cs="Times New Roman" w:eastAsia="Times New Roman" w:hAnsi="Times New Roman"/>
          <w:sz w:val="24"/>
          <w:szCs w:val="24"/>
        </w:rPr>
        <w:t xml:space="preserve">IRON RULE 1 - NET SHARE ACCUMULATION: The Partnership shall never voluntarily reduce the aggregate number of shares held in any Alpha Bets 27 Portfolio position except: (a) in connection with a compulsory corporate action (merger, acquisition, spinoff, or delisting); (b) to satisfy a binding legal or regulatory obligation; or (c) to fund Limited Partner redemptions when the T-Bill Reserve is insufficient and no other source of liquidity is available, and only then to the minimum extent necessary. In the event of option assignment resulting in share disposition, the General Partner shall repurchase an equivalent number of shares within three (3) Business Days.</w:t>
      </w:r>
    </w:p>
    <w:p>
      <w:pPr>
        <w:spacing w:after="200"/>
        <w:ind w:left="720"/>
        <w:jc w:val="both"/>
      </w:pPr>
      <w:r>
        <w:rPr>
          <w:rFonts w:ascii="Times New Roman" w:cs="Times New Roman" w:eastAsia="Times New Roman" w:hAnsi="Times New Roman"/>
          <w:sz w:val="24"/>
          <w:szCs w:val="24"/>
        </w:rPr>
        <w:t xml:space="preserve">IRON RULE 2 - MANDATORY T-BILL RESERVE: The Partnership shall maintain a T-Bill Reserve of not less than twenty percent (20%) of total Partnership assets at all times. Any temporary deviation below this threshold (resulting from market movements, redemptions, or extraordinary circumstances) shall be corrected within thirty (30) calendar days.</w:t>
      </w:r>
    </w:p>
    <w:p>
      <w:pPr>
        <w:spacing w:after="200"/>
        <w:ind w:left="720"/>
        <w:jc w:val="both"/>
      </w:pPr>
      <w:r>
        <w:rPr>
          <w:rFonts w:ascii="Times New Roman" w:cs="Times New Roman" w:eastAsia="Times New Roman" w:hAnsi="Times New Roman"/>
          <w:sz w:val="24"/>
          <w:szCs w:val="24"/>
        </w:rPr>
        <w:t xml:space="preserve">IRON RULE 3 - DRIP-ON ALWAYS ON: All option premium, dividend income, interest income, and any other cash income generated by the Partnership shall be reinvested pursuant to the DRIP-ON methodology. No income distributions shall be made to Partners. This Rule ensures the continuous operation of the second compounding engine.</w:t>
      </w:r>
    </w:p>
    <w:p>
      <w:pPr>
        <w:spacing w:after="200"/>
        <w:ind w:left="720"/>
        <w:jc w:val="both"/>
      </w:pPr>
      <w:r>
        <w:rPr>
          <w:rFonts w:ascii="Times New Roman" w:cs="Times New Roman" w:eastAsia="Times New Roman" w:hAnsi="Times New Roman"/>
          <w:sz w:val="24"/>
          <w:szCs w:val="24"/>
        </w:rPr>
        <w:t xml:space="preserve">IRON RULE 4 - LEVERAGE HARD CAPS: The Partnership shall never exceed: (a) 70% LTV on the Equity Sleeve; (b) 99% LTV on the T-Bill Reserve; and (c) 60% aggregate fund-level leverage (total borrowings / total NAV). These caps may not be exceeded for any purpose, including to fund redemptions or meet margin calls. If any leverage limit is breached due to market movements, the General Partner shall take corrective action within five (5) Business Days.</w:t>
      </w:r>
    </w:p>
    <w:p>
      <w:pPr>
        <w:spacing w:after="200"/>
        <w:ind w:left="720"/>
        <w:jc w:val="both"/>
      </w:pPr>
      <w:r>
        <w:rPr>
          <w:rFonts w:ascii="Times New Roman" w:cs="Times New Roman" w:eastAsia="Times New Roman" w:hAnsi="Times New Roman"/>
          <w:sz w:val="24"/>
          <w:szCs w:val="24"/>
        </w:rPr>
        <w:t xml:space="preserve">IRON RULE 5 - CONCENTRATED EXCELLENCE: The Alpha Bets 27 Portfolio shall not hold more than twenty-seven (27) equity positions at any time. Each position must meet the minimum FCF (or net income for Financial Sector Holdings) threshold for its tier classification. Any position that ceases to meet its tier's minimum threshold shall be placed on a twelve-month watch list, during which time the General Partner shall evaluate whether to maintain, reclassify, or replace such position.</w:t>
      </w:r>
    </w:p>
    <w:p>
      <w:r>
        <w:br w:type="page"/>
      </w:r>
    </w:p>
    <w:p>
      <w:pPr>
        <w:pStyle w:val="Heading1"/>
      </w:pPr>
      <w:r>
        <w:rPr>
          <w:b/>
          <w:bCs/>
        </w:rPr>
        <w:t xml:space="preserve">ARTICLE VIII: DISTRIBUTIONS</w:t>
      </w:r>
    </w:p>
    <w:p>
      <w:pPr>
        <w:spacing w:after="200"/>
        <w:jc w:val="both"/>
      </w:pPr>
      <w:r>
        <w:rPr>
          <w:rFonts w:ascii="Times New Roman" w:cs="Times New Roman" w:eastAsia="Times New Roman" w:hAnsi="Times New Roman"/>
          <w:b/>
          <w:bCs/>
          <w:sz w:val="24"/>
          <w:szCs w:val="24"/>
        </w:rPr>
        <w:t xml:space="preserve">Section 8.1. No Periodic Distributions.</w:t>
      </w:r>
    </w:p>
    <w:p>
      <w:pPr>
        <w:spacing w:after="200"/>
        <w:jc w:val="both"/>
      </w:pPr>
      <w:r>
        <w:rPr>
          <w:rFonts w:ascii="Times New Roman" w:cs="Times New Roman" w:eastAsia="Times New Roman" w:hAnsi="Times New Roman"/>
          <w:sz w:val="24"/>
          <w:szCs w:val="24"/>
        </w:rPr>
        <w:t xml:space="preserve">Consistent with the DRIP-ON methodology and the Investment Objective of net share accumulation, the Partnership shall not make periodic cash distributions to the Partners. All cash income shall be reinvested pursuant to the DRIP-ON methodology (Iron Rule 3).</w:t>
      </w:r>
    </w:p>
    <w:p>
      <w:pPr>
        <w:spacing w:after="200"/>
        <w:jc w:val="both"/>
      </w:pPr>
      <w:r>
        <w:rPr>
          <w:rFonts w:ascii="Times New Roman" w:cs="Times New Roman" w:eastAsia="Times New Roman" w:hAnsi="Times New Roman"/>
          <w:b/>
          <w:bCs/>
          <w:sz w:val="24"/>
          <w:szCs w:val="24"/>
        </w:rPr>
        <w:t xml:space="preserve">Section 8.2. Distributions Upon Redemption.</w:t>
      </w:r>
    </w:p>
    <w:p>
      <w:pPr>
        <w:spacing w:after="200"/>
        <w:jc w:val="both"/>
      </w:pPr>
      <w:r>
        <w:rPr>
          <w:rFonts w:ascii="Times New Roman" w:cs="Times New Roman" w:eastAsia="Times New Roman" w:hAnsi="Times New Roman"/>
          <w:sz w:val="24"/>
          <w:szCs w:val="24"/>
        </w:rPr>
        <w:t xml:space="preserve">Distributions to Limited Partners shall be made solely in connection with approved redemptions pursuant to Article IX. Such distributions shall be made in cash within the time period specified in Section 9.2.</w:t>
      </w:r>
    </w:p>
    <w:p>
      <w:pPr>
        <w:spacing w:after="200"/>
        <w:jc w:val="both"/>
      </w:pPr>
      <w:r>
        <w:rPr>
          <w:rFonts w:ascii="Times New Roman" w:cs="Times New Roman" w:eastAsia="Times New Roman" w:hAnsi="Times New Roman"/>
          <w:b/>
          <w:bCs/>
          <w:sz w:val="24"/>
          <w:szCs w:val="24"/>
        </w:rPr>
        <w:t xml:space="preserve">Section 8.3. Tax Distributions.</w:t>
      </w:r>
    </w:p>
    <w:p>
      <w:pPr>
        <w:spacing w:after="200"/>
        <w:jc w:val="both"/>
      </w:pPr>
      <w:r>
        <w:rPr>
          <w:rFonts w:ascii="Times New Roman" w:cs="Times New Roman" w:eastAsia="Times New Roman" w:hAnsi="Times New Roman"/>
          <w:sz w:val="24"/>
          <w:szCs w:val="24"/>
        </w:rPr>
        <w:t xml:space="preserve">Notwithstanding Section 8.1, the General Partner may, in its sole discretion, make tax distributions to Limited Partners in amounts reasonably estimated by the General Partner to be sufficient to enable each Limited Partner to satisfy its United States federal, state, and local income tax obligations with respect to its allocable share of Partnership taxable income for such fiscal year. Tax distributions, if any, shall be treated as advances against future redemption proceeds and shall reduce the distributing Limited Partner's Capital Account.</w:t>
      </w:r>
    </w:p>
    <w:p>
      <w:pPr>
        <w:spacing w:after="200"/>
        <w:jc w:val="both"/>
      </w:pPr>
      <w:r>
        <w:rPr>
          <w:rFonts w:ascii="Times New Roman" w:cs="Times New Roman" w:eastAsia="Times New Roman" w:hAnsi="Times New Roman"/>
          <w:b/>
          <w:bCs/>
          <w:sz w:val="24"/>
          <w:szCs w:val="24"/>
        </w:rPr>
        <w:t xml:space="preserve">Section 8.4. Withholding.</w:t>
      </w:r>
    </w:p>
    <w:p>
      <w:pPr>
        <w:spacing w:after="200"/>
        <w:jc w:val="both"/>
      </w:pPr>
      <w:r>
        <w:rPr>
          <w:rFonts w:ascii="Times New Roman" w:cs="Times New Roman" w:eastAsia="Times New Roman" w:hAnsi="Times New Roman"/>
          <w:sz w:val="24"/>
          <w:szCs w:val="24"/>
        </w:rPr>
        <w:t xml:space="preserve">The Partnership and the General Partner shall be entitled to deduct and withhold from any distribution or allocation any amounts required to be withheld under applicable tax law. Any amounts so withheld shall be treated as having been distributed to the Partner with respect to which such withholding was made.</w:t>
      </w:r>
    </w:p>
    <w:p>
      <w:r>
        <w:br w:type="page"/>
      </w:r>
    </w:p>
    <w:p>
      <w:pPr>
        <w:pStyle w:val="Heading1"/>
      </w:pPr>
      <w:r>
        <w:rPr>
          <w:b/>
          <w:bCs/>
        </w:rPr>
        <w:t xml:space="preserve">ARTICLE IX: REDEMPTIONS AND TRANSFERS</w:t>
      </w:r>
    </w:p>
    <w:p>
      <w:pPr>
        <w:spacing w:after="200"/>
        <w:jc w:val="both"/>
      </w:pPr>
      <w:r>
        <w:rPr>
          <w:rFonts w:ascii="Times New Roman" w:cs="Times New Roman" w:eastAsia="Times New Roman" w:hAnsi="Times New Roman"/>
          <w:b/>
          <w:bCs/>
          <w:sz w:val="24"/>
          <w:szCs w:val="24"/>
        </w:rPr>
        <w:t xml:space="preserve">Section 9.1. Redemption Rights.</w:t>
      </w:r>
    </w:p>
    <w:p>
      <w:pPr>
        <w:spacing w:after="200"/>
        <w:jc w:val="both"/>
      </w:pPr>
      <w:r>
        <w:rPr>
          <w:rFonts w:ascii="Times New Roman" w:cs="Times New Roman" w:eastAsia="Times New Roman" w:hAnsi="Times New Roman"/>
          <w:sz w:val="24"/>
          <w:szCs w:val="24"/>
        </w:rPr>
        <w:t xml:space="preserve">(a) Each Limited Partner (other than holders of Class F Interests) may request redemption of all or a portion of its Interest as of the last Business Day of each calendar quarter (each, a "Redemption Date"), subject to the terms and conditions set forth in this Article IX.</w:t>
      </w:r>
    </w:p>
    <w:p>
      <w:pPr>
        <w:spacing w:after="200"/>
        <w:jc w:val="both"/>
      </w:pPr>
      <w:r>
        <w:rPr>
          <w:rFonts w:ascii="Times New Roman" w:cs="Times New Roman" w:eastAsia="Times New Roman" w:hAnsi="Times New Roman"/>
          <w:sz w:val="24"/>
          <w:szCs w:val="24"/>
        </w:rPr>
        <w:t xml:space="preserve">(b) Holders of Class F Interests may request redemption at any time without restriction.</w:t>
      </w:r>
    </w:p>
    <w:p>
      <w:pPr>
        <w:spacing w:after="200"/>
        <w:jc w:val="both"/>
      </w:pPr>
      <w:r>
        <w:rPr>
          <w:rFonts w:ascii="Times New Roman" w:cs="Times New Roman" w:eastAsia="Times New Roman" w:hAnsi="Times New Roman"/>
          <w:sz w:val="24"/>
          <w:szCs w:val="24"/>
        </w:rPr>
        <w:t xml:space="preserve">(c) Written notice of redemption (a "Redemption Notice") must be delivered to the General Partner not less than sixty (60) calendar days prior to the applicable Redemption Date. Redemption Notices are irrevocable once delivered, except with the written consent of the General Partner.</w:t>
      </w:r>
    </w:p>
    <w:p>
      <w:pPr>
        <w:spacing w:after="200"/>
        <w:jc w:val="both"/>
      </w:pPr>
      <w:r>
        <w:rPr>
          <w:rFonts w:ascii="Times New Roman" w:cs="Times New Roman" w:eastAsia="Times New Roman" w:hAnsi="Times New Roman"/>
          <w:b/>
          <w:bCs/>
          <w:sz w:val="24"/>
          <w:szCs w:val="24"/>
        </w:rPr>
        <w:t xml:space="preserve">Section 9.2. Redemption Procedures and Payment.</w:t>
      </w:r>
    </w:p>
    <w:p>
      <w:pPr>
        <w:spacing w:after="200"/>
        <w:jc w:val="both"/>
      </w:pPr>
      <w:r>
        <w:rPr>
          <w:rFonts w:ascii="Times New Roman" w:cs="Times New Roman" w:eastAsia="Times New Roman" w:hAnsi="Times New Roman"/>
          <w:sz w:val="24"/>
          <w:szCs w:val="24"/>
        </w:rPr>
        <w:t xml:space="preserve">(a) Redemptions shall be processed at the Adjusted NAV per Interest as of the applicable Redemption Date.</w:t>
      </w:r>
    </w:p>
    <w:p>
      <w:pPr>
        <w:spacing w:after="200"/>
        <w:jc w:val="both"/>
      </w:pPr>
      <w:r>
        <w:rPr>
          <w:rFonts w:ascii="Times New Roman" w:cs="Times New Roman" w:eastAsia="Times New Roman" w:hAnsi="Times New Roman"/>
          <w:sz w:val="24"/>
          <w:szCs w:val="24"/>
        </w:rPr>
        <w:t xml:space="preserve">(b) Ninety percent (90%) of the estimated redemption proceeds shall be paid within forty-five (45) calendar days following the Redemption Date. The remaining ten percent (10%) shall be held back pending completion of the Partnership's annual audit and shall be paid within thirty (30) days following delivery of the audited financial statements for the fiscal year in which the Redemption Date occurs.</w:t>
      </w:r>
    </w:p>
    <w:p>
      <w:pPr>
        <w:spacing w:after="200"/>
        <w:jc w:val="both"/>
      </w:pPr>
      <w:r>
        <w:rPr>
          <w:rFonts w:ascii="Times New Roman" w:cs="Times New Roman" w:eastAsia="Times New Roman" w:hAnsi="Times New Roman"/>
          <w:b/>
          <w:bCs/>
          <w:sz w:val="24"/>
          <w:szCs w:val="24"/>
        </w:rPr>
        <w:t xml:space="preserve">Section 9.3. Soft Lock-Up.</w:t>
      </w:r>
    </w:p>
    <w:p>
      <w:pPr>
        <w:spacing w:after="200"/>
        <w:jc w:val="both"/>
      </w:pPr>
      <w:r>
        <w:rPr>
          <w:rFonts w:ascii="Times New Roman" w:cs="Times New Roman" w:eastAsia="Times New Roman" w:hAnsi="Times New Roman"/>
          <w:sz w:val="24"/>
          <w:szCs w:val="24"/>
        </w:rPr>
        <w:t xml:space="preserve">(a) Any Limited Partner who redeems all or a portion of its Interest within twelve (12) months of such Limited Partner's admission to the Partnership (the "Lock-Up Period") shall be subject to an early redemption fee of two percent (2%) of the redeemed amount, payable to the Partnership (and not to the General Partner) as a contribution to the Partnership's assets for the benefit of remaining Partners.</w:t>
      </w:r>
    </w:p>
    <w:p>
      <w:pPr>
        <w:spacing w:after="200"/>
        <w:jc w:val="both"/>
      </w:pPr>
      <w:r>
        <w:rPr>
          <w:rFonts w:ascii="Times New Roman" w:cs="Times New Roman" w:eastAsia="Times New Roman" w:hAnsi="Times New Roman"/>
          <w:sz w:val="24"/>
          <w:szCs w:val="24"/>
        </w:rPr>
        <w:t xml:space="preserve">(b) The Lock-Up Period shall not apply to holders of Class F Interests.</w:t>
      </w:r>
    </w:p>
    <w:p>
      <w:pPr>
        <w:spacing w:after="200"/>
        <w:jc w:val="both"/>
      </w:pPr>
      <w:r>
        <w:rPr>
          <w:rFonts w:ascii="Times New Roman" w:cs="Times New Roman" w:eastAsia="Times New Roman" w:hAnsi="Times New Roman"/>
          <w:b/>
          <w:bCs/>
          <w:sz w:val="24"/>
          <w:szCs w:val="24"/>
        </w:rPr>
        <w:t xml:space="preserve">Section 9.4. Gate Provision.</w:t>
      </w:r>
    </w:p>
    <w:p>
      <w:pPr>
        <w:spacing w:after="200"/>
        <w:jc w:val="both"/>
      </w:pPr>
      <w:r>
        <w:rPr>
          <w:rFonts w:ascii="Times New Roman" w:cs="Times New Roman" w:eastAsia="Times New Roman" w:hAnsi="Times New Roman"/>
          <w:sz w:val="24"/>
          <w:szCs w:val="24"/>
        </w:rPr>
        <w:t xml:space="preserve">(a) If aggregate Redemption Notices received for any Redemption Date exceed fifteen percent (15%) of the Partnership's Net Asset Value, the General Partner may, in its sole discretion, reduce each redeeming Limited Partner's redemption pro rata such that aggregate redemptions do not exceed fifteen percent (15%) of NAV (the "Gate").</w:t>
      </w:r>
    </w:p>
    <w:p>
      <w:pPr>
        <w:spacing w:after="200"/>
        <w:jc w:val="both"/>
      </w:pPr>
      <w:r>
        <w:rPr>
          <w:rFonts w:ascii="Times New Roman" w:cs="Times New Roman" w:eastAsia="Times New Roman" w:hAnsi="Times New Roman"/>
          <w:sz w:val="24"/>
          <w:szCs w:val="24"/>
        </w:rPr>
        <w:t xml:space="preserve">(b) Any portion of a Redemption Notice not fulfilled due to the application of the Gate shall be carried forward to the next Redemption Date with priority over new Redemption Notices, unless the Limited Partner withdraws such carried-forward request.</w:t>
      </w:r>
    </w:p>
    <w:p>
      <w:pPr>
        <w:spacing w:after="200"/>
        <w:jc w:val="both"/>
      </w:pPr>
      <w:r>
        <w:rPr>
          <w:rFonts w:ascii="Times New Roman" w:cs="Times New Roman" w:eastAsia="Times New Roman" w:hAnsi="Times New Roman"/>
          <w:sz w:val="24"/>
          <w:szCs w:val="24"/>
        </w:rPr>
        <w:t xml:space="preserve">(c) The General Partner shall notify each affected Limited Partner of any Gate application within five (5) Business Days following the applicable Redemption Date.</w:t>
      </w:r>
    </w:p>
    <w:p>
      <w:pPr>
        <w:spacing w:after="200"/>
        <w:jc w:val="both"/>
      </w:pPr>
      <w:r>
        <w:rPr>
          <w:rFonts w:ascii="Times New Roman" w:cs="Times New Roman" w:eastAsia="Times New Roman" w:hAnsi="Times New Roman"/>
          <w:b/>
          <w:bCs/>
          <w:sz w:val="24"/>
          <w:szCs w:val="24"/>
        </w:rPr>
        <w:t xml:space="preserve">Section 9.5. Suspension of Redemptions.</w:t>
      </w:r>
    </w:p>
    <w:p>
      <w:pPr>
        <w:spacing w:after="200"/>
        <w:jc w:val="both"/>
      </w:pPr>
      <w:r>
        <w:rPr>
          <w:rFonts w:ascii="Times New Roman" w:cs="Times New Roman" w:eastAsia="Times New Roman" w:hAnsi="Times New Roman"/>
          <w:sz w:val="24"/>
          <w:szCs w:val="24"/>
        </w:rPr>
        <w:t xml:space="preserve">The General Partner may suspend the processing of redemptions during any period in which: (a) any exchange on which a material portion of the Partnership's investments are traded is closed other than for ordinary holidays; (b) the General Partner determines that the disposition of Partnership investments or the fair determination of NAV is not reasonably practicable; (c) an event of force majeure materially affects the Partnership's ability to process redemptions; or (d) such suspension is required by applicable law or regulation.</w:t>
      </w:r>
    </w:p>
    <w:p>
      <w:pPr>
        <w:spacing w:after="200"/>
        <w:jc w:val="both"/>
      </w:pPr>
      <w:r>
        <w:rPr>
          <w:rFonts w:ascii="Times New Roman" w:cs="Times New Roman" w:eastAsia="Times New Roman" w:hAnsi="Times New Roman"/>
          <w:b/>
          <w:bCs/>
          <w:sz w:val="24"/>
          <w:szCs w:val="24"/>
        </w:rPr>
        <w:t xml:space="preserve">Section 9.6. Compulsory Redemption.</w:t>
      </w:r>
    </w:p>
    <w:p>
      <w:pPr>
        <w:spacing w:after="200"/>
        <w:jc w:val="both"/>
      </w:pPr>
      <w:r>
        <w:rPr>
          <w:rFonts w:ascii="Times New Roman" w:cs="Times New Roman" w:eastAsia="Times New Roman" w:hAnsi="Times New Roman"/>
          <w:sz w:val="24"/>
          <w:szCs w:val="24"/>
        </w:rPr>
        <w:t xml:space="preserve">The General Partner may compulsorily redeem all or a portion of any Limited Partner's Interest if: (a) such Limited Partner has breached any representation, warranty, or covenant contained in this Agreement or its Subscription Agreement; (b) the continued participation of such Limited Partner would cause the Partnership to violate any applicable law or regulation; (c) such Limited Partner fails to provide requested AML/KYC, FATCA, or CRS documentation; or (d) the General Partner determines, in its reasonable judgment, that continued participation of such Limited Partner would be adverse to the interests of the Partnership or the other Partners.</w:t>
      </w:r>
    </w:p>
    <w:p>
      <w:pPr>
        <w:spacing w:after="200"/>
        <w:jc w:val="both"/>
      </w:pPr>
      <w:r>
        <w:rPr>
          <w:rFonts w:ascii="Times New Roman" w:cs="Times New Roman" w:eastAsia="Times New Roman" w:hAnsi="Times New Roman"/>
          <w:b/>
          <w:bCs/>
          <w:sz w:val="24"/>
          <w:szCs w:val="24"/>
        </w:rPr>
        <w:t xml:space="preserve">Section 9.7. Transfers.</w:t>
      </w:r>
    </w:p>
    <w:p>
      <w:pPr>
        <w:spacing w:after="200"/>
        <w:jc w:val="both"/>
      </w:pPr>
      <w:r>
        <w:rPr>
          <w:rFonts w:ascii="Times New Roman" w:cs="Times New Roman" w:eastAsia="Times New Roman" w:hAnsi="Times New Roman"/>
          <w:sz w:val="24"/>
          <w:szCs w:val="24"/>
        </w:rPr>
        <w:t xml:space="preserve">(a) No Limited Partner may sell, assign, transfer, pledge, or otherwise dispose of all or any portion of its Interest without the prior written consent of the General Partner, which may be withheld in the General Partner's sole and absolute discretion.</w:t>
      </w:r>
    </w:p>
    <w:p>
      <w:pPr>
        <w:spacing w:after="200"/>
        <w:jc w:val="both"/>
      </w:pPr>
      <w:r>
        <w:rPr>
          <w:rFonts w:ascii="Times New Roman" w:cs="Times New Roman" w:eastAsia="Times New Roman" w:hAnsi="Times New Roman"/>
          <w:sz w:val="24"/>
          <w:szCs w:val="24"/>
        </w:rPr>
        <w:t xml:space="preserve">(b) Any purported transfer in violation of this Section 9.7 shall be void and of no effect.</w:t>
      </w:r>
    </w:p>
    <w:p>
      <w:pPr>
        <w:spacing w:after="200"/>
        <w:jc w:val="both"/>
      </w:pPr>
      <w:r>
        <w:rPr>
          <w:rFonts w:ascii="Times New Roman" w:cs="Times New Roman" w:eastAsia="Times New Roman" w:hAnsi="Times New Roman"/>
          <w:sz w:val="24"/>
          <w:szCs w:val="24"/>
        </w:rPr>
        <w:t xml:space="preserve">(c) As a condition to any approved transfer, the transferee shall comply with all admission requirements set forth in Section 3.3 and shall assume all obligations of the transferring Limited Partner under this Agreement.</w:t>
      </w:r>
    </w:p>
    <w:p>
      <w:r>
        <w:br w:type="page"/>
      </w:r>
    </w:p>
    <w:p>
      <w:pPr>
        <w:pStyle w:val="Heading1"/>
      </w:pPr>
      <w:r>
        <w:rPr>
          <w:b/>
          <w:bCs/>
        </w:rPr>
        <w:t xml:space="preserve">ARTICLE X: LIMITED PARTNER RIGHTS, ADVISORY COMMITTEE, AND REPORTING</w:t>
      </w:r>
    </w:p>
    <w:p>
      <w:pPr>
        <w:spacing w:after="200"/>
        <w:jc w:val="both"/>
      </w:pPr>
      <w:r>
        <w:rPr>
          <w:rFonts w:ascii="Times New Roman" w:cs="Times New Roman" w:eastAsia="Times New Roman" w:hAnsi="Times New Roman"/>
          <w:b/>
          <w:bCs/>
          <w:sz w:val="24"/>
          <w:szCs w:val="24"/>
        </w:rPr>
        <w:t xml:space="preserve">Section 10.1. Limited Partner Rights.</w:t>
      </w:r>
    </w:p>
    <w:p>
      <w:pPr>
        <w:spacing w:after="200"/>
        <w:jc w:val="both"/>
      </w:pPr>
      <w:r>
        <w:rPr>
          <w:rFonts w:ascii="Times New Roman" w:cs="Times New Roman" w:eastAsia="Times New Roman" w:hAnsi="Times New Roman"/>
          <w:sz w:val="24"/>
          <w:szCs w:val="24"/>
        </w:rPr>
        <w:t xml:space="preserve">Each Limited Partner shall have the right to: (a) receive quarterly financial reports within forty-five (45) days following each quarter-end; (b) receive audited annual financial statements within one hundred twenty (120) days following each fiscal year-end; (c) receive tax reporting information (including IRS Schedule K-1 or equivalent) within ninety (90) days following each fiscal year-end; (d) inspect the books and records of the Partnership during normal business hours upon reasonable advance notice; and (e) receive prompt written notice of any material adverse change in the Partnership's operations or financial condition.</w:t>
      </w:r>
    </w:p>
    <w:p>
      <w:pPr>
        <w:spacing w:after="200"/>
        <w:jc w:val="both"/>
      </w:pPr>
      <w:r>
        <w:rPr>
          <w:rFonts w:ascii="Times New Roman" w:cs="Times New Roman" w:eastAsia="Times New Roman" w:hAnsi="Times New Roman"/>
          <w:b/>
          <w:bCs/>
          <w:sz w:val="24"/>
          <w:szCs w:val="24"/>
        </w:rPr>
        <w:t xml:space="preserve">Section 10.2. Advisory Committee.</w:t>
      </w:r>
    </w:p>
    <w:p>
      <w:pPr>
        <w:spacing w:after="200"/>
        <w:jc w:val="both"/>
      </w:pPr>
      <w:r>
        <w:rPr>
          <w:rFonts w:ascii="Times New Roman" w:cs="Times New Roman" w:eastAsia="Times New Roman" w:hAnsi="Times New Roman"/>
          <w:sz w:val="24"/>
          <w:szCs w:val="24"/>
        </w:rPr>
        <w:t xml:space="preserve">(a) The General Partner shall establish a Limited Partner Advisory Committee (the "Advisory Committee") consisting of not fewer than three (3) and not more than seven (7) members selected by the General Partner from among the Limited Partners.</w:t>
      </w:r>
    </w:p>
    <w:p>
      <w:pPr>
        <w:spacing w:after="200"/>
        <w:jc w:val="both"/>
      </w:pPr>
      <w:r>
        <w:rPr>
          <w:rFonts w:ascii="Times New Roman" w:cs="Times New Roman" w:eastAsia="Times New Roman" w:hAnsi="Times New Roman"/>
          <w:sz w:val="24"/>
          <w:szCs w:val="24"/>
        </w:rPr>
        <w:t xml:space="preserve">(b) The Advisory Committee shall serve in an advisory capacity only and shall have no authority to bind the Partnership or the General Partner. The General Partner shall consult the Advisory Committee on: (i) conflicts of interest between the General Partner and the Partnership; (ii) material changes to the valuation methodology; (iii) any proposed amendment to the Five Iron Rules; and (iv) such other matters as the General Partner may refer to the Advisory Committee from time to time.</w:t>
      </w:r>
    </w:p>
    <w:p>
      <w:pPr>
        <w:spacing w:after="200"/>
        <w:jc w:val="both"/>
      </w:pPr>
      <w:r>
        <w:rPr>
          <w:rFonts w:ascii="Times New Roman" w:cs="Times New Roman" w:eastAsia="Times New Roman" w:hAnsi="Times New Roman"/>
          <w:sz w:val="24"/>
          <w:szCs w:val="24"/>
        </w:rPr>
        <w:t xml:space="preserve">(c) Class I Limited Partners committing Fifty Million Dollars ($50,000,000) or more shall be entitled to appoint one representative to the Advisory Committee.</w:t>
      </w:r>
    </w:p>
    <w:p>
      <w:pPr>
        <w:spacing w:after="200"/>
        <w:jc w:val="both"/>
      </w:pPr>
      <w:r>
        <w:rPr>
          <w:rFonts w:ascii="Times New Roman" w:cs="Times New Roman" w:eastAsia="Times New Roman" w:hAnsi="Times New Roman"/>
          <w:b/>
          <w:bCs/>
          <w:sz w:val="24"/>
          <w:szCs w:val="24"/>
        </w:rPr>
        <w:t xml:space="preserve">Section 10.3. Quarterly Reporting.</w:t>
      </w:r>
    </w:p>
    <w:p>
      <w:pPr>
        <w:spacing w:after="200"/>
        <w:jc w:val="both"/>
      </w:pPr>
      <w:r>
        <w:rPr>
          <w:rFonts w:ascii="Times New Roman" w:cs="Times New Roman" w:eastAsia="Times New Roman" w:hAnsi="Times New Roman"/>
          <w:sz w:val="24"/>
          <w:szCs w:val="24"/>
        </w:rPr>
        <w:t xml:space="preserve">The General Partner shall provide each Limited Partner with a quarterly report containing: (a) the Partnership's NAV and performance attribution; (b) the Alpha Bets 27 Portfolio composition, including each position's FCF Contribution Weight, target weight, actual weight, and any weight adjustment activity; (c) DNSA Engine activity summary (calls written, puts sold, premiums collected, assignments, DRIP-ON reinvestment); (d) T-Bill Reserve status, including yield and put capacity utilization; (e) leverage utilization relative to Iron Rule limits; (f) fee and expense summary; and (g) compliance certification regarding the Five Iron Rules.</w:t>
      </w:r>
    </w:p>
    <w:p>
      <w:pPr>
        <w:spacing w:after="200"/>
        <w:jc w:val="both"/>
      </w:pPr>
      <w:r>
        <w:rPr>
          <w:rFonts w:ascii="Times New Roman" w:cs="Times New Roman" w:eastAsia="Times New Roman" w:hAnsi="Times New Roman"/>
          <w:b/>
          <w:bCs/>
          <w:sz w:val="24"/>
          <w:szCs w:val="24"/>
        </w:rPr>
        <w:t xml:space="preserve">Section 10.4. Annual Meeting.</w:t>
      </w:r>
    </w:p>
    <w:p>
      <w:pPr>
        <w:spacing w:after="200"/>
        <w:jc w:val="both"/>
      </w:pPr>
      <w:r>
        <w:rPr>
          <w:rFonts w:ascii="Times New Roman" w:cs="Times New Roman" w:eastAsia="Times New Roman" w:hAnsi="Times New Roman"/>
          <w:sz w:val="24"/>
          <w:szCs w:val="24"/>
        </w:rPr>
        <w:t xml:space="preserve">The General Partner shall hold an annual meeting of the Partners (which may be conducted virtually) at which the General Partner shall present the Partnership's annual results, investment outlook, and any material changes to strategy or operations. Each Limited Partner shall be entitled to attend and participate in the annual meeting.</w:t>
      </w:r>
    </w:p>
    <w:p>
      <w:r>
        <w:br w:type="page"/>
      </w:r>
    </w:p>
    <w:p>
      <w:pPr>
        <w:pStyle w:val="Heading1"/>
      </w:pPr>
      <w:r>
        <w:rPr>
          <w:b/>
          <w:bCs/>
        </w:rPr>
        <w:t xml:space="preserve">ARTICLE XI: DISSOLUTION AND WINDING UP</w:t>
      </w:r>
    </w:p>
    <w:p>
      <w:pPr>
        <w:spacing w:after="200"/>
        <w:jc w:val="both"/>
      </w:pPr>
      <w:r>
        <w:rPr>
          <w:rFonts w:ascii="Times New Roman" w:cs="Times New Roman" w:eastAsia="Times New Roman" w:hAnsi="Times New Roman"/>
          <w:b/>
          <w:bCs/>
          <w:sz w:val="24"/>
          <w:szCs w:val="24"/>
        </w:rPr>
        <w:t xml:space="preserve">Section 11.1. No Scheduled Dissolution.</w:t>
      </w:r>
    </w:p>
    <w:p>
      <w:pPr>
        <w:spacing w:after="200"/>
        <w:jc w:val="both"/>
      </w:pPr>
      <w:r>
        <w:rPr>
          <w:rFonts w:ascii="Times New Roman" w:cs="Times New Roman" w:eastAsia="Times New Roman" w:hAnsi="Times New Roman"/>
          <w:sz w:val="24"/>
          <w:szCs w:val="24"/>
        </w:rPr>
        <w:t xml:space="preserve">Consistent with the Evergreen Structure, the Partnership has no scheduled dissolution date and is intended to continue in perpetuity.</w:t>
      </w:r>
    </w:p>
    <w:p>
      <w:pPr>
        <w:spacing w:after="200"/>
        <w:jc w:val="both"/>
      </w:pPr>
      <w:r>
        <w:rPr>
          <w:rFonts w:ascii="Times New Roman" w:cs="Times New Roman" w:eastAsia="Times New Roman" w:hAnsi="Times New Roman"/>
          <w:b/>
          <w:bCs/>
          <w:sz w:val="24"/>
          <w:szCs w:val="24"/>
        </w:rPr>
        <w:t xml:space="preserve">Section 11.2. Events of Dissolution.</w:t>
      </w:r>
    </w:p>
    <w:p>
      <w:pPr>
        <w:spacing w:after="200"/>
        <w:jc w:val="both"/>
      </w:pPr>
      <w:r>
        <w:rPr>
          <w:rFonts w:ascii="Times New Roman" w:cs="Times New Roman" w:eastAsia="Times New Roman" w:hAnsi="Times New Roman"/>
          <w:sz w:val="24"/>
          <w:szCs w:val="24"/>
        </w:rPr>
        <w:t xml:space="preserve">The Partnership shall be dissolved upon the earliest to occur of: (a) the written determination of the General Partner to dissolve the Partnership; (b) the written consent of Limited Partners holding at least seventy-five percent (75%) of the aggregate Capital Account balances (excluding the General Partner's Capital Account); (c) the entry of a decree of judicial dissolution; (d) the bankruptcy, dissolution, or cessation of the General Partner as an entity, unless a successor General Partner is appointed within ninety (90) days; or (e) any event that makes it unlawful for the Partnership to continue.</w:t>
      </w:r>
    </w:p>
    <w:p>
      <w:pPr>
        <w:spacing w:after="200"/>
        <w:jc w:val="both"/>
      </w:pPr>
      <w:r>
        <w:rPr>
          <w:rFonts w:ascii="Times New Roman" w:cs="Times New Roman" w:eastAsia="Times New Roman" w:hAnsi="Times New Roman"/>
          <w:b/>
          <w:bCs/>
          <w:sz w:val="24"/>
          <w:szCs w:val="24"/>
        </w:rPr>
        <w:t xml:space="preserve">Section 11.3. Winding Up.</w:t>
      </w:r>
    </w:p>
    <w:p>
      <w:pPr>
        <w:spacing w:after="200"/>
        <w:jc w:val="both"/>
      </w:pPr>
      <w:r>
        <w:rPr>
          <w:rFonts w:ascii="Times New Roman" w:cs="Times New Roman" w:eastAsia="Times New Roman" w:hAnsi="Times New Roman"/>
          <w:sz w:val="24"/>
          <w:szCs w:val="24"/>
        </w:rPr>
        <w:t xml:space="preserve">Upon dissolution, the General Partner (or, if the General Partner is unable to serve, a liquidating trustee selected by the Advisory Committee) shall wind up the affairs of the Partnership and liquidate its assets in an orderly manner. The proceeds shall be applied in the following order of priority: (a) payment of all debts and obligations of the Partnership to creditors (including Partners who are creditors, to the extent permitted by law); (b) establishment of reserves for contingent liabilities; (c) payment of any accrued and unpaid Management Fees and crystallized Performance Allocations; (d) return of Capital Account balances to Limited Partners pro rata; and (e) return of the GP Co-Investment to the General Partner (last-out).</w:t>
      </w:r>
    </w:p>
    <w:p>
      <w:pPr>
        <w:spacing w:after="200"/>
        <w:jc w:val="both"/>
      </w:pPr>
      <w:r>
        <w:rPr>
          <w:rFonts w:ascii="Times New Roman" w:cs="Times New Roman" w:eastAsia="Times New Roman" w:hAnsi="Times New Roman"/>
          <w:b/>
          <w:bCs/>
          <w:sz w:val="24"/>
          <w:szCs w:val="24"/>
        </w:rPr>
        <w:t xml:space="preserve">Section 11.4. In-Kind Distributions.</w:t>
      </w:r>
    </w:p>
    <w:p>
      <w:pPr>
        <w:spacing w:after="200"/>
        <w:jc w:val="both"/>
      </w:pPr>
      <w:r>
        <w:rPr>
          <w:rFonts w:ascii="Times New Roman" w:cs="Times New Roman" w:eastAsia="Times New Roman" w:hAnsi="Times New Roman"/>
          <w:sz w:val="24"/>
          <w:szCs w:val="24"/>
        </w:rPr>
        <w:t xml:space="preserve">The General Partner may, in its sole discretion, distribute Partnership assets in kind to the Partners in connection with a dissolution, provided that such in-kind distributions are made pro rata based on Capital Account balances and each Partner receives its proportionate share of each asset distributed. Any in-kind distribution shall be valued at fair market value as of the date of distribution.</w:t>
      </w:r>
    </w:p>
    <w:p>
      <w:r>
        <w:br w:type="page"/>
      </w:r>
    </w:p>
    <w:p>
      <w:pPr>
        <w:pStyle w:val="Heading1"/>
      </w:pPr>
      <w:r>
        <w:rPr>
          <w:b/>
          <w:bCs/>
        </w:rPr>
        <w:t xml:space="preserve">ARTICLE XII: INDEMNIFICATION, LIABILITY, AND GENERAL PROVISIONS</w:t>
      </w:r>
    </w:p>
    <w:p>
      <w:pPr>
        <w:spacing w:after="200"/>
        <w:jc w:val="both"/>
      </w:pPr>
      <w:r>
        <w:rPr>
          <w:rFonts w:ascii="Times New Roman" w:cs="Times New Roman" w:eastAsia="Times New Roman" w:hAnsi="Times New Roman"/>
          <w:b/>
          <w:bCs/>
          <w:sz w:val="24"/>
          <w:szCs w:val="24"/>
        </w:rPr>
        <w:t xml:space="preserve">Section 12.1. Exculpation.</w:t>
      </w:r>
    </w:p>
    <w:p>
      <w:pPr>
        <w:spacing w:after="200"/>
        <w:jc w:val="both"/>
      </w:pPr>
      <w:r>
        <w:rPr>
          <w:rFonts w:ascii="Times New Roman" w:cs="Times New Roman" w:eastAsia="Times New Roman" w:hAnsi="Times New Roman"/>
          <w:sz w:val="24"/>
          <w:szCs w:val="24"/>
        </w:rPr>
        <w:t xml:space="preserve">Neither the General Partner, the Founder, nor any of their respective Affiliates, officers, directors, employees, agents, or representatives (each, an "Indemnified Person") shall be liable to the Partnership or any Limited Partner for any loss, damage, liability, or expense arising from any act or omission performed or omitted in good faith and in a manner reasonably believed to be in or not opposed to the best interests of the Partnership, provided that such act or omission does not constitute fraud, willful misconduct, gross negligence, or a material breach of this Agreement.</w:t>
      </w:r>
    </w:p>
    <w:p>
      <w:pPr>
        <w:spacing w:after="200"/>
        <w:jc w:val="both"/>
      </w:pPr>
      <w:r>
        <w:rPr>
          <w:rFonts w:ascii="Times New Roman" w:cs="Times New Roman" w:eastAsia="Times New Roman" w:hAnsi="Times New Roman"/>
          <w:b/>
          <w:bCs/>
          <w:sz w:val="24"/>
          <w:szCs w:val="24"/>
        </w:rPr>
        <w:t xml:space="preserve">Section 12.2. Indemnification.</w:t>
      </w:r>
    </w:p>
    <w:p>
      <w:pPr>
        <w:spacing w:after="200"/>
        <w:jc w:val="both"/>
      </w:pPr>
      <w:r>
        <w:rPr>
          <w:rFonts w:ascii="Times New Roman" w:cs="Times New Roman" w:eastAsia="Times New Roman" w:hAnsi="Times New Roman"/>
          <w:sz w:val="24"/>
          <w:szCs w:val="24"/>
        </w:rPr>
        <w:t xml:space="preserve">The Partnership shall indemnify and hold harmless each Indemnified Person from and against any and all claims, damages, losses, costs, and expenses (including reasonable attorneys' fees and expenses) arising from or in connection with the business or affairs of the Partnership, provided that the conduct giving rise to such claim does not constitute fraud, willful misconduct, gross negligence, or a material breach of this Agreement. The Partnership may advance expenses to any Indemnified Person in connection with any such claim, subject to an undertaking by such Indemnified Person to repay such amounts if it is ultimately determined that such Indemnified Person is not entitled to indemnification.</w:t>
      </w:r>
    </w:p>
    <w:p>
      <w:pPr>
        <w:spacing w:after="200"/>
        <w:jc w:val="both"/>
      </w:pPr>
      <w:r>
        <w:rPr>
          <w:rFonts w:ascii="Times New Roman" w:cs="Times New Roman" w:eastAsia="Times New Roman" w:hAnsi="Times New Roman"/>
          <w:b/>
          <w:bCs/>
          <w:sz w:val="24"/>
          <w:szCs w:val="24"/>
        </w:rPr>
        <w:t xml:space="preserve">Section 12.3. Standard of Care.</w:t>
      </w:r>
    </w:p>
    <w:p>
      <w:pPr>
        <w:spacing w:after="200"/>
        <w:jc w:val="both"/>
      </w:pPr>
      <w:r>
        <w:rPr>
          <w:rFonts w:ascii="Times New Roman" w:cs="Times New Roman" w:eastAsia="Times New Roman" w:hAnsi="Times New Roman"/>
          <w:sz w:val="24"/>
          <w:szCs w:val="24"/>
        </w:rPr>
        <w:t xml:space="preserve">The General Partner shall manage the Partnership with the care, skill, prudence, and diligence that a reasonably prudent person acting in a like capacity and familiar with such matters would use in the conduct of an enterprise of like character and aims.</w:t>
      </w:r>
    </w:p>
    <w:p>
      <w:pPr>
        <w:spacing w:after="200"/>
        <w:jc w:val="both"/>
      </w:pPr>
      <w:r>
        <w:rPr>
          <w:rFonts w:ascii="Times New Roman" w:cs="Times New Roman" w:eastAsia="Times New Roman" w:hAnsi="Times New Roman"/>
          <w:b/>
          <w:bCs/>
          <w:sz w:val="24"/>
          <w:szCs w:val="24"/>
        </w:rPr>
        <w:t xml:space="preserve">Section 12.4. Amendments.</w:t>
      </w:r>
    </w:p>
    <w:p>
      <w:pPr>
        <w:spacing w:after="200"/>
        <w:jc w:val="both"/>
      </w:pPr>
      <w:r>
        <w:rPr>
          <w:rFonts w:ascii="Times New Roman" w:cs="Times New Roman" w:eastAsia="Times New Roman" w:hAnsi="Times New Roman"/>
          <w:sz w:val="24"/>
          <w:szCs w:val="24"/>
        </w:rPr>
        <w:t xml:space="preserve">(a) This Agreement may be amended by the General Partner without the consent of the Limited Partners if such amendment: (i) is necessary to comply with applicable law or regulation; (ii) does not materially and adversely affect the rights of any Limited Partner; or (iii) is of a ministerial, administrative, or clarifying nature.</w:t>
      </w:r>
    </w:p>
    <w:p>
      <w:pPr>
        <w:spacing w:after="200"/>
        <w:jc w:val="both"/>
      </w:pPr>
      <w:r>
        <w:rPr>
          <w:rFonts w:ascii="Times New Roman" w:cs="Times New Roman" w:eastAsia="Times New Roman" w:hAnsi="Times New Roman"/>
          <w:sz w:val="24"/>
          <w:szCs w:val="24"/>
        </w:rPr>
        <w:t xml:space="preserve">(b) Any amendment that would materially and adversely affect the rights of the Limited Partners shall require the written consent of Limited Partners holding at least sixty-six and two-thirds percent (66-2/3%) of the aggregate Capital Account balances (excluding the General Partner's Capital Account).</w:t>
      </w:r>
    </w:p>
    <w:p>
      <w:pPr>
        <w:spacing w:after="200"/>
        <w:jc w:val="both"/>
      </w:pPr>
      <w:r>
        <w:rPr>
          <w:rFonts w:ascii="Times New Roman" w:cs="Times New Roman" w:eastAsia="Times New Roman" w:hAnsi="Times New Roman"/>
          <w:sz w:val="24"/>
          <w:szCs w:val="24"/>
        </w:rPr>
        <w:t xml:space="preserve">(c) Notwithstanding the foregoing, no amendment to the Five Iron Rules (Section 7.8) shall be effective without the unanimous written consent of all Partners. No amendment shall reduce any Limited Partner's Capital Account balance without such Limited Partner's consent.</w:t>
      </w:r>
    </w:p>
    <w:p>
      <w:pPr>
        <w:spacing w:after="200"/>
        <w:jc w:val="both"/>
      </w:pPr>
      <w:r>
        <w:rPr>
          <w:rFonts w:ascii="Times New Roman" w:cs="Times New Roman" w:eastAsia="Times New Roman" w:hAnsi="Times New Roman"/>
          <w:b/>
          <w:bCs/>
          <w:sz w:val="24"/>
          <w:szCs w:val="24"/>
        </w:rPr>
        <w:t xml:space="preserve">Section 12.5. Governing Law.</w:t>
      </w:r>
    </w:p>
    <w:p>
      <w:pPr>
        <w:spacing w:after="200"/>
        <w:jc w:val="both"/>
      </w:pPr>
      <w:r>
        <w:rPr>
          <w:rFonts w:ascii="Times New Roman" w:cs="Times New Roman" w:eastAsia="Times New Roman" w:hAnsi="Times New Roman"/>
          <w:sz w:val="24"/>
          <w:szCs w:val="24"/>
        </w:rPr>
        <w:t xml:space="preserve">This Agreement shall be governed by and construed in accordance with the laws of the Cayman Islands, without regard to principles of conflicts of laws. Each Partner hereby irrevocably submits to the non-exclusive jurisdiction of the courts of the Cayman Islands for the resolution of any dispute arising under or in connection with this Agreement.</w:t>
      </w:r>
    </w:p>
    <w:p>
      <w:pPr>
        <w:spacing w:after="200"/>
        <w:jc w:val="both"/>
      </w:pPr>
      <w:r>
        <w:rPr>
          <w:rFonts w:ascii="Times New Roman" w:cs="Times New Roman" w:eastAsia="Times New Roman" w:hAnsi="Times New Roman"/>
          <w:b/>
          <w:bCs/>
          <w:sz w:val="24"/>
          <w:szCs w:val="24"/>
        </w:rPr>
        <w:t xml:space="preserve">Section 12.6. Arbitration.</w:t>
      </w:r>
    </w:p>
    <w:p>
      <w:pPr>
        <w:spacing w:after="200"/>
        <w:jc w:val="both"/>
      </w:pPr>
      <w:r>
        <w:rPr>
          <w:rFonts w:ascii="Times New Roman" w:cs="Times New Roman" w:eastAsia="Times New Roman" w:hAnsi="Times New Roman"/>
          <w:sz w:val="24"/>
          <w:szCs w:val="24"/>
        </w:rPr>
        <w:t xml:space="preserve">Any dispute, controversy, or claim arising out of or relating to this Agreement, including the validity, interpretation, performance, breach, or termination thereof, shall be finally resolved by arbitration administered by the International Chamber of Commerce (ICC) under the ICC Arbitration Rules then in effect. The arbitral tribunal shall consist of three (3) arbitrators. The seat of arbitration shall be the Abu Dhabi Global Market, Abu Dhabi, United Arab Emirates. The language of arbitration shall be English. Judgment on the arbitral award may be entered in any court of competent jurisdiction.</w:t>
      </w:r>
    </w:p>
    <w:p>
      <w:pPr>
        <w:spacing w:after="200"/>
        <w:jc w:val="both"/>
      </w:pPr>
      <w:r>
        <w:rPr>
          <w:rFonts w:ascii="Times New Roman" w:cs="Times New Roman" w:eastAsia="Times New Roman" w:hAnsi="Times New Roman"/>
          <w:b/>
          <w:bCs/>
          <w:sz w:val="24"/>
          <w:szCs w:val="24"/>
        </w:rPr>
        <w:t xml:space="preserve">Section 12.7. Confidentiality.</w:t>
      </w:r>
    </w:p>
    <w:p>
      <w:pPr>
        <w:spacing w:after="200"/>
        <w:jc w:val="both"/>
      </w:pPr>
      <w:r>
        <w:rPr>
          <w:rFonts w:ascii="Times New Roman" w:cs="Times New Roman" w:eastAsia="Times New Roman" w:hAnsi="Times New Roman"/>
          <w:sz w:val="24"/>
          <w:szCs w:val="24"/>
        </w:rPr>
        <w:t xml:space="preserve">(a) Each Partner shall maintain the confidentiality of this Agreement, all information regarding the Partnership's investments, operations, and financial affairs, and the identity and investment amounts of other Partners. Each Partner may disclose such information only: (i) to its legal, tax, and financial advisors who have a need to know and who agree to maintain the confidentiality thereof; (ii) as required by applicable law, regulation, or order of a court or governmental authority; or (iii) with the prior written consent of the General Partner.</w:t>
      </w:r>
    </w:p>
    <w:p>
      <w:pPr>
        <w:spacing w:after="200"/>
        <w:jc w:val="both"/>
      </w:pPr>
      <w:r>
        <w:rPr>
          <w:rFonts w:ascii="Times New Roman" w:cs="Times New Roman" w:eastAsia="Times New Roman" w:hAnsi="Times New Roman"/>
          <w:sz w:val="24"/>
          <w:szCs w:val="24"/>
        </w:rPr>
        <w:t xml:space="preserve">(b) The Partnership and the General Partner shall maintain the confidentiality of each Limited Partner's personal and financial information in accordance with all applicable privacy laws and regulations.</w:t>
      </w:r>
    </w:p>
    <w:p>
      <w:pPr>
        <w:spacing w:after="200"/>
        <w:jc w:val="both"/>
      </w:pPr>
      <w:r>
        <w:rPr>
          <w:rFonts w:ascii="Times New Roman" w:cs="Times New Roman" w:eastAsia="Times New Roman" w:hAnsi="Times New Roman"/>
          <w:b/>
          <w:bCs/>
          <w:sz w:val="24"/>
          <w:szCs w:val="24"/>
        </w:rPr>
        <w:t xml:space="preserve">Section 12.8. AML/KYC Compliance.</w:t>
      </w:r>
    </w:p>
    <w:p>
      <w:pPr>
        <w:spacing w:after="200"/>
        <w:jc w:val="both"/>
      </w:pPr>
      <w:r>
        <w:rPr>
          <w:rFonts w:ascii="Times New Roman" w:cs="Times New Roman" w:eastAsia="Times New Roman" w:hAnsi="Times New Roman"/>
          <w:sz w:val="24"/>
          <w:szCs w:val="24"/>
        </w:rPr>
        <w:t xml:space="preserve">The General Partner shall implement and maintain a comprehensive anti-money laundering and know-your-customer compliance program consistent with applicable laws and regulations of the Cayman Islands, the United States (including the Bank Secrecy Act and USA PATRIOT Act), the UAE, Singapore, and any other applicable jurisdiction. Each Limited Partner shall cooperate with the General Partner's AML/KYC requirements as a continuing obligation.</w:t>
      </w:r>
    </w:p>
    <w:p>
      <w:pPr>
        <w:spacing w:after="200"/>
        <w:jc w:val="both"/>
      </w:pPr>
      <w:r>
        <w:rPr>
          <w:rFonts w:ascii="Times New Roman" w:cs="Times New Roman" w:eastAsia="Times New Roman" w:hAnsi="Times New Roman"/>
          <w:b/>
          <w:bCs/>
          <w:sz w:val="24"/>
          <w:szCs w:val="24"/>
        </w:rPr>
        <w:t xml:space="preserve">Section 12.9. Side Letters.</w:t>
      </w:r>
    </w:p>
    <w:p>
      <w:pPr>
        <w:spacing w:after="200"/>
        <w:jc w:val="both"/>
      </w:pPr>
      <w:r>
        <w:rPr>
          <w:rFonts w:ascii="Times New Roman" w:cs="Times New Roman" w:eastAsia="Times New Roman" w:hAnsi="Times New Roman"/>
          <w:sz w:val="24"/>
          <w:szCs w:val="24"/>
        </w:rPr>
        <w:t xml:space="preserve">The General Partner may enter into side letters or supplemental agreements with individual Limited Partners granting such Limited Partners rights, terms, or conditions that differ from or supplement the terms of this Agreement, provided that any such side letter shall be subject to the MFN provision set forth in Section 12.15.</w:t>
      </w:r>
    </w:p>
    <w:p>
      <w:pPr>
        <w:spacing w:after="200"/>
        <w:jc w:val="both"/>
      </w:pPr>
      <w:r>
        <w:rPr>
          <w:rFonts w:ascii="Times New Roman" w:cs="Times New Roman" w:eastAsia="Times New Roman" w:hAnsi="Times New Roman"/>
          <w:b/>
          <w:bCs/>
          <w:sz w:val="24"/>
          <w:szCs w:val="24"/>
        </w:rPr>
        <w:t xml:space="preserve">Section 12.10. Power of Attorney.</w:t>
      </w:r>
    </w:p>
    <w:p>
      <w:pPr>
        <w:spacing w:after="200"/>
        <w:jc w:val="both"/>
      </w:pPr>
      <w:r>
        <w:rPr>
          <w:rFonts w:ascii="Times New Roman" w:cs="Times New Roman" w:eastAsia="Times New Roman" w:hAnsi="Times New Roman"/>
          <w:sz w:val="24"/>
          <w:szCs w:val="24"/>
        </w:rPr>
        <w:t xml:space="preserve">Each Limited Partner hereby irrevocably constitutes and appoints the General Partner as its true and lawful attorney-in-fact, with full power and authority to execute, acknowledge, deliver, file, and record on behalf of such Limited Partner: (a) this Agreement and any amendments hereto; (b) all certificates and instruments required to effectuate the formation, qualification, or continuation of the Partnership; (c) all instruments relating to the admission, withdrawal, or substitution of Partners; and (d) all instruments required to effectuate the dissolution and termination of the Partnership.</w:t>
      </w:r>
    </w:p>
    <w:p>
      <w:pPr>
        <w:spacing w:after="200"/>
        <w:jc w:val="both"/>
      </w:pPr>
      <w:r>
        <w:rPr>
          <w:rFonts w:ascii="Times New Roman" w:cs="Times New Roman" w:eastAsia="Times New Roman" w:hAnsi="Times New Roman"/>
          <w:b/>
          <w:bCs/>
          <w:sz w:val="24"/>
          <w:szCs w:val="24"/>
        </w:rPr>
        <w:t xml:space="preserve">Section 12.11. Notices.</w:t>
      </w:r>
    </w:p>
    <w:p>
      <w:pPr>
        <w:spacing w:after="200"/>
        <w:jc w:val="both"/>
      </w:pPr>
      <w:r>
        <w:rPr>
          <w:rFonts w:ascii="Times New Roman" w:cs="Times New Roman" w:eastAsia="Times New Roman" w:hAnsi="Times New Roman"/>
          <w:sz w:val="24"/>
          <w:szCs w:val="24"/>
        </w:rPr>
        <w:t xml:space="preserve">All notices, requests, demands, and other communications under this Agreement shall be in writing and shall be delivered personally, sent by internationally recognized overnight courier, or transmitted by electronic mail to the addresses set forth in each Partner's Subscription Agreement or such other address as any Partner may designate by written notice to the General Partner.</w:t>
      </w:r>
    </w:p>
    <w:p>
      <w:pPr>
        <w:spacing w:after="200"/>
        <w:jc w:val="both"/>
      </w:pPr>
      <w:r>
        <w:rPr>
          <w:rFonts w:ascii="Times New Roman" w:cs="Times New Roman" w:eastAsia="Times New Roman" w:hAnsi="Times New Roman"/>
          <w:b/>
          <w:bCs/>
          <w:sz w:val="24"/>
          <w:szCs w:val="24"/>
        </w:rPr>
        <w:t xml:space="preserve">Section 12.12. Entire Agreement.</w:t>
      </w:r>
    </w:p>
    <w:p>
      <w:pPr>
        <w:spacing w:after="200"/>
        <w:jc w:val="both"/>
      </w:pPr>
      <w:r>
        <w:rPr>
          <w:rFonts w:ascii="Times New Roman" w:cs="Times New Roman" w:eastAsia="Times New Roman" w:hAnsi="Times New Roman"/>
          <w:sz w:val="24"/>
          <w:szCs w:val="24"/>
        </w:rPr>
        <w:t xml:space="preserve">This Agreement, together with the Subscription Agreements and any side letters, constitutes the entire agreement among the Partners with respect to the subject matter hereof and supersedes all prior agreements, understandings, negotiations, and discussions, whether oral or written.</w:t>
      </w:r>
    </w:p>
    <w:p>
      <w:pPr>
        <w:spacing w:after="200"/>
        <w:jc w:val="both"/>
      </w:pPr>
      <w:r>
        <w:rPr>
          <w:rFonts w:ascii="Times New Roman" w:cs="Times New Roman" w:eastAsia="Times New Roman" w:hAnsi="Times New Roman"/>
          <w:b/>
          <w:bCs/>
          <w:sz w:val="24"/>
          <w:szCs w:val="24"/>
        </w:rPr>
        <w:t xml:space="preserve">Section 12.13. Severability.</w:t>
      </w:r>
    </w:p>
    <w:p>
      <w:pPr>
        <w:spacing w:after="200"/>
        <w:jc w:val="both"/>
      </w:pPr>
      <w:r>
        <w:rPr>
          <w:rFonts w:ascii="Times New Roman" w:cs="Times New Roman" w:eastAsia="Times New Roman" w:hAnsi="Times New Roman"/>
          <w:sz w:val="24"/>
          <w:szCs w:val="24"/>
        </w:rPr>
        <w:t xml:space="preserve">If any provision of this Agreement is held to be invalid, illegal, or unenforceable, the validity, legality, and enforceability of the remaining provisions shall not be affected or impaired thereby, and such provision shall be reformed to the minimum extent necessary to make it valid, legal, and enforceable while preserving the original intent of the Partners.</w:t>
      </w:r>
    </w:p>
    <w:p>
      <w:pPr>
        <w:spacing w:after="200"/>
        <w:jc w:val="both"/>
      </w:pPr>
      <w:r>
        <w:rPr>
          <w:rFonts w:ascii="Times New Roman" w:cs="Times New Roman" w:eastAsia="Times New Roman" w:hAnsi="Times New Roman"/>
          <w:b/>
          <w:bCs/>
          <w:sz w:val="24"/>
          <w:szCs w:val="24"/>
        </w:rPr>
        <w:t xml:space="preserve">Section 12.14. Waiver.</w:t>
      </w:r>
    </w:p>
    <w:p>
      <w:pPr>
        <w:spacing w:after="200"/>
        <w:jc w:val="both"/>
      </w:pPr>
      <w:r>
        <w:rPr>
          <w:rFonts w:ascii="Times New Roman" w:cs="Times New Roman" w:eastAsia="Times New Roman" w:hAnsi="Times New Roman"/>
          <w:sz w:val="24"/>
          <w:szCs w:val="24"/>
        </w:rPr>
        <w:t xml:space="preserve">No waiver of any provision of this Agreement shall be effective unless in writing and signed by the waiving party. No failure or delay by any Partner in exercising any right or remedy shall operate as a waiver thereof.</w:t>
      </w:r>
    </w:p>
    <w:p>
      <w:pPr>
        <w:spacing w:after="200"/>
        <w:jc w:val="both"/>
      </w:pPr>
      <w:r>
        <w:rPr>
          <w:rFonts w:ascii="Times New Roman" w:cs="Times New Roman" w:eastAsia="Times New Roman" w:hAnsi="Times New Roman"/>
          <w:b/>
          <w:bCs/>
          <w:sz w:val="24"/>
          <w:szCs w:val="24"/>
        </w:rPr>
        <w:t xml:space="preserve">Section 12.15. Most Favored Nation.</w:t>
      </w:r>
    </w:p>
    <w:p>
      <w:pPr>
        <w:spacing w:after="200"/>
        <w:jc w:val="both"/>
      </w:pPr>
      <w:r>
        <w:rPr>
          <w:rFonts w:ascii="Times New Roman" w:cs="Times New Roman" w:eastAsia="Times New Roman" w:hAnsi="Times New Roman"/>
          <w:sz w:val="24"/>
          <w:szCs w:val="24"/>
        </w:rPr>
        <w:t xml:space="preserve">(a) If the General Partner grants to any Limited Partner (whether by side letter, supplemental agreement, or otherwise) any rights, terms, or conditions that are more favorable than those provided in this Agreement with respect to: (i) management fee rates; (ii) performance allocation rates or terms; (iii) redemption rights (including lock-up periods, notice periods, or gate thresholds); (iv) reporting or transparency rights; or (v) any other material economic or governance term, the General Partner shall, within thirty (30) days following the execution of such side letter or supplemental agreement, notify all Limited Partners in the same Class or a higher priority Class of the availability of such more favorable terms and offer such Limited Partners the opportunity to elect to receive such terms.</w:t>
      </w:r>
    </w:p>
    <w:p>
      <w:pPr>
        <w:spacing w:after="200"/>
        <w:jc w:val="both"/>
      </w:pPr>
      <w:r>
        <w:rPr>
          <w:rFonts w:ascii="Times New Roman" w:cs="Times New Roman" w:eastAsia="Times New Roman" w:hAnsi="Times New Roman"/>
          <w:sz w:val="24"/>
          <w:szCs w:val="24"/>
        </w:rPr>
        <w:t xml:space="preserve">(b) For purposes of this Section 12.15, "higher priority Class" means a Class with a higher minimum investment threshold (i.e., Class I is higher priority than Class B, which is higher priority than Class A).</w:t>
      </w:r>
    </w:p>
    <w:p>
      <w:pPr>
        <w:spacing w:after="200"/>
        <w:jc w:val="both"/>
      </w:pPr>
      <w:r>
        <w:rPr>
          <w:rFonts w:ascii="Times New Roman" w:cs="Times New Roman" w:eastAsia="Times New Roman" w:hAnsi="Times New Roman"/>
          <w:b/>
          <w:bCs/>
          <w:sz w:val="24"/>
          <w:szCs w:val="24"/>
        </w:rPr>
        <w:t xml:space="preserve">Section 12.16. Regulatory Compliance.</w:t>
      </w:r>
    </w:p>
    <w:p>
      <w:pPr>
        <w:spacing w:after="200"/>
        <w:jc w:val="both"/>
      </w:pPr>
      <w:r>
        <w:rPr>
          <w:rFonts w:ascii="Times New Roman" w:cs="Times New Roman" w:eastAsia="Times New Roman" w:hAnsi="Times New Roman"/>
          <w:sz w:val="24"/>
          <w:szCs w:val="24"/>
        </w:rPr>
        <w:t xml:space="preserve">The Partnership and the General Partner shall comply with all applicable laws, rules, and regulations of the Cayman Islands, the United States (including, without limitation, the Securities Act of 1933, the Securities Exchange Act of 1934, the Investment Company Act of 1940, the Investment Advisers Act of 1940, and the Commodity Exchange Act, each as amended), the Abu Dhabi Global Market, and Singapore, and shall make all filings and registrations required by applicable regulatory authorities, including without limitation: (a) SEC Form D (Regulation D, Rule 506(b) or 506(c)); (b) SEC Form ADV (Parts 1 and 2); (c) CFTC and NFA filings as applicable; (d) Cayman Islands Monetary Authority (CIMA) filings; (e) ADGM Financial Services Regulatory Authority (FSRA) filings; and (f) Monetary Authority of Singapore (MAS) filings.</w:t>
      </w:r>
    </w:p>
    <w:p>
      <w:pPr>
        <w:spacing w:after="200"/>
        <w:jc w:val="both"/>
      </w:pPr>
      <w:r>
        <w:rPr>
          <w:rFonts w:ascii="Times New Roman" w:cs="Times New Roman" w:eastAsia="Times New Roman" w:hAnsi="Times New Roman"/>
          <w:b/>
          <w:bCs/>
          <w:sz w:val="24"/>
          <w:szCs w:val="24"/>
        </w:rPr>
        <w:t xml:space="preserve">Section 12.17. Force Majeure.</w:t>
      </w:r>
    </w:p>
    <w:p>
      <w:pPr>
        <w:spacing w:after="200"/>
        <w:jc w:val="both"/>
      </w:pPr>
      <w:r>
        <w:rPr>
          <w:rFonts w:ascii="Times New Roman" w:cs="Times New Roman" w:eastAsia="Times New Roman" w:hAnsi="Times New Roman"/>
          <w:sz w:val="24"/>
          <w:szCs w:val="24"/>
        </w:rPr>
        <w:t xml:space="preserve">The General Partner shall not be liable for any failure or delay in performing its obligations under this Agreement if such failure or delay results from circumstances beyond the General Partner's reasonable control, including but not limited to acts of God, war, terrorism, pandemic, government action, exchange or market disruptions, or failures of third-party service providers.</w:t>
      </w:r>
    </w:p>
    <w:p>
      <w:pPr>
        <w:spacing w:after="200"/>
        <w:jc w:val="both"/>
      </w:pPr>
      <w:r>
        <w:rPr>
          <w:rFonts w:ascii="Times New Roman" w:cs="Times New Roman" w:eastAsia="Times New Roman" w:hAnsi="Times New Roman"/>
          <w:b/>
          <w:bCs/>
          <w:sz w:val="24"/>
          <w:szCs w:val="24"/>
        </w:rPr>
        <w:t xml:space="preserve">Section 12.18. Counterparts.</w:t>
      </w:r>
    </w:p>
    <w:p>
      <w:pPr>
        <w:spacing w:after="200"/>
        <w:jc w:val="both"/>
      </w:pPr>
      <w:r>
        <w:rPr>
          <w:rFonts w:ascii="Times New Roman" w:cs="Times New Roman" w:eastAsia="Times New Roman" w:hAnsi="Times New Roman"/>
          <w:sz w:val="24"/>
          <w:szCs w:val="24"/>
        </w:rPr>
        <w:t xml:space="preserve">This Agreement may be executed in any number of counterparts (including by electronic signature), each of which shall be deemed an original and all of which together shall constitute one and the same instrument.</w:t>
      </w:r>
    </w:p>
    <w:p>
      <w:r>
        <w:br w:type="page"/>
      </w:r>
    </w:p>
    <w:p>
      <w:pPr>
        <w:pStyle w:val="Heading1"/>
      </w:pPr>
      <w:r>
        <w:rPr>
          <w:b/>
          <w:bCs/>
        </w:rPr>
        <w:t xml:space="preserve">SCHEDULE A: ALPHA BETS 27 PORTFOLIO FRAMEWORK</w:t>
      </w:r>
    </w:p>
    <w:p>
      <w:pPr>
        <w:spacing w:after="200"/>
        <w:jc w:val="both"/>
      </w:pPr>
      <w:r>
        <w:rPr>
          <w:rFonts w:ascii="Times New Roman" w:cs="Times New Roman" w:eastAsia="Times New Roman" w:hAnsi="Times New Roman"/>
          <w:i/>
          <w:iCs/>
          <w:sz w:val="24"/>
          <w:szCs w:val="24"/>
        </w:rPr>
        <w:t xml:space="preserve">The Alpha Bets 27 Portfolio shall be constructed from the universe of globally listed companies meeting the following criteria, organized into four tiers. The specific holdings as of any date are determined by the General Partner and disclosed in quarterly reports.</w:t>
      </w:r>
    </w:p>
    <w:p>
      <w:pPr>
        <w:spacing w:after="200"/>
        <w:jc w:val="both"/>
      </w:pPr>
      <w:r>
        <w:rPr>
          <w:rFonts w:ascii="Times New Roman" w:cs="Times New Roman" w:eastAsia="Times New Roman" w:hAnsi="Times New Roman"/>
          <w:b/>
          <w:bCs/>
          <w:sz w:val="24"/>
          <w:szCs w:val="24"/>
        </w:rPr>
        <w:t xml:space="preserve">Tier 1: Aces (Positions generating &gt;$50B trailing twelve-month FCF or Net Income)</w:t>
      </w:r>
    </w:p>
    <w:p>
      <w:pPr>
        <w:spacing w:after="200"/>
        <w:jc w:val="both"/>
      </w:pPr>
      <w:r>
        <w:rPr>
          <w:rFonts w:ascii="Times New Roman" w:cs="Times New Roman" w:eastAsia="Times New Roman" w:hAnsi="Times New Roman"/>
          <w:sz w:val="24"/>
          <w:szCs w:val="24"/>
        </w:rPr>
        <w:t xml:space="preserve">These represent the absolute largest cash-generating businesses on Earth. Typical sectors include: technology platforms, integrated financial services, and dominant consumer platforms. Target allocation: proportional to each Ace's FCF Contribution Weight, with Aces collectively expected to represent the majority of the Equity Sleeve.</w:t>
      </w:r>
    </w:p>
    <w:p>
      <w:pPr>
        <w:spacing w:after="200"/>
        <w:jc w:val="both"/>
      </w:pPr>
      <w:r>
        <w:rPr>
          <w:rFonts w:ascii="Times New Roman" w:cs="Times New Roman" w:eastAsia="Times New Roman" w:hAnsi="Times New Roman"/>
          <w:b/>
          <w:bCs/>
          <w:sz w:val="24"/>
          <w:szCs w:val="24"/>
        </w:rPr>
        <w:t xml:space="preserve">Tier 2: Kings (Positions generating $25B-$50B trailing twelve-month FCF or Net Income)</w:t>
      </w:r>
    </w:p>
    <w:p>
      <w:pPr>
        <w:spacing w:after="200"/>
        <w:jc w:val="both"/>
      </w:pPr>
      <w:r>
        <w:rPr>
          <w:rFonts w:ascii="Times New Roman" w:cs="Times New Roman" w:eastAsia="Times New Roman" w:hAnsi="Times New Roman"/>
          <w:sz w:val="24"/>
          <w:szCs w:val="24"/>
        </w:rPr>
        <w:t xml:space="preserve">Large-scale businesses with durable competitive moats and sustained FCF growth. Typical sectors include: semiconductor ecosystem, cloud infrastructure, healthcare, and payment networks.</w:t>
      </w:r>
    </w:p>
    <w:p>
      <w:pPr>
        <w:spacing w:after="200"/>
        <w:jc w:val="both"/>
      </w:pPr>
      <w:r>
        <w:rPr>
          <w:rFonts w:ascii="Times New Roman" w:cs="Times New Roman" w:eastAsia="Times New Roman" w:hAnsi="Times New Roman"/>
          <w:b/>
          <w:bCs/>
          <w:sz w:val="24"/>
          <w:szCs w:val="24"/>
        </w:rPr>
        <w:t xml:space="preserve">Tier 3: Queens (Positions generating $10B-$25B trailing twelve-month FCF or Net Income)</w:t>
      </w:r>
    </w:p>
    <w:p>
      <w:pPr>
        <w:spacing w:after="200"/>
        <w:jc w:val="both"/>
      </w:pPr>
      <w:r>
        <w:rPr>
          <w:rFonts w:ascii="Times New Roman" w:cs="Times New Roman" w:eastAsia="Times New Roman" w:hAnsi="Times New Roman"/>
          <w:sz w:val="24"/>
          <w:szCs w:val="24"/>
        </w:rPr>
        <w:t xml:space="preserve">Established businesses with strong market positions and accelerating FCF growth, often benefiting from AI and data-driven tailwinds within their respective GDP pillar.</w:t>
      </w:r>
    </w:p>
    <w:p>
      <w:pPr>
        <w:spacing w:after="200"/>
        <w:jc w:val="both"/>
      </w:pPr>
      <w:r>
        <w:rPr>
          <w:rFonts w:ascii="Times New Roman" w:cs="Times New Roman" w:eastAsia="Times New Roman" w:hAnsi="Times New Roman"/>
          <w:b/>
          <w:bCs/>
          <w:sz w:val="24"/>
          <w:szCs w:val="24"/>
        </w:rPr>
        <w:t xml:space="preserve">Tier 4: Jacks (Positions generating $5B-$10B trailing twelve-month FCF or Net Income)</w:t>
      </w:r>
    </w:p>
    <w:p>
      <w:pPr>
        <w:spacing w:after="200"/>
        <w:jc w:val="both"/>
      </w:pPr>
      <w:r>
        <w:rPr>
          <w:rFonts w:ascii="Times New Roman" w:cs="Times New Roman" w:eastAsia="Times New Roman" w:hAnsi="Times New Roman"/>
          <w:sz w:val="24"/>
          <w:szCs w:val="24"/>
        </w:rPr>
        <w:t xml:space="preserve">High-growth businesses with emerging moats, representing the future Aces and Kings of the portfolio. Higher weighting toward FCF growth rate relative to absolute magnitude.</w:t>
      </w:r>
    </w:p>
    <w:p>
      <w:r>
        <w:br w:type="page"/>
      </w:r>
    </w:p>
    <w:p>
      <w:pPr>
        <w:pStyle w:val="Heading1"/>
      </w:pPr>
      <w:r>
        <w:rPr>
          <w:b/>
          <w:bCs/>
        </w:rPr>
        <w:t xml:space="preserve">SCHEDULE B: DNSA ENGINE PRODUCT SPECIFICATION SUMMARY</w:t>
      </w:r>
    </w:p>
    <w:p>
      <w:pPr>
        <w:spacing w:after="200"/>
        <w:jc w:val="both"/>
      </w:pPr>
      <w:r>
        <w:rPr>
          <w:rFonts w:ascii="Times New Roman" w:cs="Times New Roman" w:eastAsia="Times New Roman" w:hAnsi="Times New Roman"/>
          <w:i/>
          <w:iCs/>
          <w:sz w:val="24"/>
          <w:szCs w:val="24"/>
        </w:rPr>
        <w:t xml:space="preserve">The DNSA Engine is the Partnership's proprietary AI-first systematic options overlay system. Key architectural specifications include:</w:t>
      </w:r>
    </w:p>
    <w:p>
      <w:pPr>
        <w:spacing w:after="200"/>
        <w:jc w:val="both"/>
      </w:pPr>
      <w:r>
        <w:rPr>
          <w:rFonts w:ascii="Times New Roman" w:cs="Times New Roman" w:eastAsia="Times New Roman" w:hAnsi="Times New Roman"/>
          <w:b/>
          <w:bCs/>
          <w:sz w:val="24"/>
          <w:szCs w:val="24"/>
        </w:rPr>
        <w:t xml:space="preserve">Architecture:</w:t>
      </w:r>
    </w:p>
    <w:p>
      <w:pPr>
        <w:spacing w:after="200"/>
        <w:jc w:val="both"/>
      </w:pPr>
      <w:r>
        <w:rPr>
          <w:rFonts w:ascii="Times New Roman" w:cs="Times New Roman" w:eastAsia="Times New Roman" w:hAnsi="Times New Roman"/>
          <w:sz w:val="24"/>
          <w:szCs w:val="24"/>
        </w:rPr>
        <w:t xml:space="preserve">Four-layer architecture: (1) Market Data Ingestion Layer; (2) Signal Generation Layer (fear/greed indicators, IV rank, RSI, put/call ratios, VIX term structure); (3) Execution Layer (covered call writing, cash-secured put selling, assignment management, DRIP-ON reinvestment); and (4) Risk Management Layer (leverage monitoring, put capacity management, Iron Rule compliance verification).</w:t>
      </w:r>
    </w:p>
    <w:p>
      <w:pPr>
        <w:spacing w:after="200"/>
        <w:jc w:val="both"/>
      </w:pPr>
      <w:r>
        <w:rPr>
          <w:rFonts w:ascii="Times New Roman" w:cs="Times New Roman" w:eastAsia="Times New Roman" w:hAnsi="Times New Roman"/>
          <w:b/>
          <w:bCs/>
          <w:sz w:val="24"/>
          <w:szCs w:val="24"/>
        </w:rPr>
        <w:t xml:space="preserve">Broker Architecture:</w:t>
      </w:r>
    </w:p>
    <w:p>
      <w:pPr>
        <w:spacing w:after="200"/>
        <w:jc w:val="both"/>
      </w:pPr>
      <w:r>
        <w:rPr>
          <w:rFonts w:ascii="Times New Roman" w:cs="Times New Roman" w:eastAsia="Times New Roman" w:hAnsi="Times New Roman"/>
          <w:sz w:val="24"/>
          <w:szCs w:val="24"/>
        </w:rPr>
        <w:t xml:space="preserve">Dual-broker design: Alpaca Securities for options execution; Interactive Brokers for equity custody and execution. Charles Schwab and Thinkorswim for supplemental execution, margin management, and the human-in-the-loop trading interface. Goldman Sachs and Morgan Stanley designated as future prime brokers at scale.</w:t>
      </w:r>
    </w:p>
    <w:p>
      <w:pPr>
        <w:spacing w:after="200"/>
        <w:jc w:val="both"/>
      </w:pPr>
      <w:r>
        <w:rPr>
          <w:rFonts w:ascii="Times New Roman" w:cs="Times New Roman" w:eastAsia="Times New Roman" w:hAnsi="Times New Roman"/>
          <w:b/>
          <w:bCs/>
          <w:sz w:val="24"/>
          <w:szCs w:val="24"/>
        </w:rPr>
        <w:t xml:space="preserve">Assignment Management:</w:t>
      </w:r>
    </w:p>
    <w:p>
      <w:pPr>
        <w:spacing w:after="200"/>
        <w:jc w:val="both"/>
      </w:pPr>
      <w:r>
        <w:rPr>
          <w:rFonts w:ascii="Times New Roman" w:cs="Times New Roman" w:eastAsia="Times New Roman" w:hAnsi="Times New Roman"/>
          <w:sz w:val="24"/>
          <w:szCs w:val="24"/>
        </w:rPr>
        <w:t xml:space="preserve">In the event of option assignment resulting in involuntary share disposition, the DNSA Engine shall initiate repurchase of equivalent shares within the same trading session when practicable, and in all cases within three (3) Business Days, in compliance with Iron Rule 1 (Net Share Accumulation).</w:t>
      </w:r>
    </w:p>
    <w:p>
      <w:r>
        <w:br w:type="page"/>
      </w:r>
    </w:p>
    <w:p>
      <w:pPr>
        <w:pStyle w:val="Heading1"/>
      </w:pPr>
      <w:r>
        <w:rPr>
          <w:b/>
          <w:bCs/>
        </w:rPr>
        <w:t xml:space="preserve">SCHEDULE C: REGISTER OF PARTNERS</w:t>
      </w:r>
    </w:p>
    <w:p>
      <w:pPr>
        <w:spacing w:after="200"/>
        <w:jc w:val="both"/>
      </w:pPr>
      <w:r>
        <w:rPr>
          <w:rFonts w:ascii="Times New Roman" w:cs="Times New Roman" w:eastAsia="Times New Roman" w:hAnsi="Times New Roman"/>
          <w:i/>
          <w:iCs/>
          <w:sz w:val="24"/>
          <w:szCs w:val="24"/>
        </w:rPr>
        <w:t xml:space="preserve">[To be maintained by the General Partner and updated upon each admission, transfer, or withdrawal of a Partner.]</w:t>
      </w:r>
    </w:p>
    <w:p>
      <w:pPr>
        <w:spacing w:after="200"/>
        <w:jc w:val="both"/>
      </w:pPr>
      <w:r>
        <w:rPr>
          <w:rFonts w:ascii="Times New Roman" w:cs="Times New Roman" w:eastAsia="Times New Roman" w:hAnsi="Times New Roman"/>
          <w:b/>
          <w:bCs/>
          <w:sz w:val="24"/>
          <w:szCs w:val="24"/>
        </w:rPr>
        <w:t xml:space="preserve">General Partner: Hushh Technologies Middle East LLC (ADGM)</w:t>
      </w:r>
    </w:p>
    <w:p>
      <w:pPr>
        <w:spacing w:after="200"/>
        <w:jc w:val="both"/>
      </w:pPr>
      <w:r>
        <w:rPr>
          <w:rFonts w:ascii="Times New Roman" w:cs="Times New Roman" w:eastAsia="Times New Roman" w:hAnsi="Times New Roman"/>
          <w:sz w:val="24"/>
          <w:szCs w:val="24"/>
        </w:rPr>
        <w:t xml:space="preserve">Class F Interest Holder / Founder: Manish Sainani</w:t>
      </w:r>
    </w:p>
    <w:p>
      <w:pPr>
        <w:spacing w:after="200"/>
        <w:jc w:val="both"/>
      </w:pPr>
      <w:r>
        <w:rPr>
          <w:rFonts w:ascii="Times New Roman" w:cs="Times New Roman" w:eastAsia="Times New Roman" w:hAnsi="Times New Roman"/>
          <w:sz w:val="24"/>
          <w:szCs w:val="24"/>
        </w:rPr>
        <w:t xml:space="preserve">GP Co-Investment: $5,000,000 (first-in / last-out)</w:t>
      </w:r>
    </w:p>
    <w:p>
      <w:pPr>
        <w:spacing w:after="200"/>
        <w:jc w:val="both"/>
      </w:pPr>
      <w:r>
        <w:rPr>
          <w:rFonts w:ascii="Times New Roman" w:cs="Times New Roman" w:eastAsia="Times New Roman" w:hAnsi="Times New Roman"/>
          <w:sz w:val="24"/>
          <w:szCs w:val="24"/>
        </w:rPr>
        <w:t xml:space="preserve">[Additional Limited Partners to be listed upon admission]</w:t>
      </w:r>
    </w:p>
    <w:p>
      <w:r>
        <w:br w:type="page"/>
      </w:r>
    </w:p>
    <w:p>
      <w:pPr>
        <w:pStyle w:val="Heading1"/>
      </w:pPr>
      <w:r>
        <w:rPr>
          <w:b/>
          <w:bCs/>
        </w:rPr>
        <w:t xml:space="preserve">SIGNATURE PAGE</w:t>
      </w:r>
    </w:p>
    <w:p>
      <w:pPr>
        <w:spacing w:after="200"/>
        <w:jc w:val="both"/>
      </w:pPr>
      <w:r>
        <w:rPr>
          <w:rFonts w:ascii="Times New Roman" w:cs="Times New Roman" w:eastAsia="Times New Roman" w:hAnsi="Times New Roman"/>
          <w:sz w:val="24"/>
          <w:szCs w:val="24"/>
        </w:rPr>
        <w:t xml:space="preserve">IN WITNESS WHEREOF, the undersigned have executed this Amended and Restated Exempted Limited Partnership Agreement as of the date first written above.</w:t>
      </w:r>
    </w:p>
    <w:p>
      <w:pPr>
        <w:spacing w:before="800"/>
      </w:pPr>
    </w:p>
    <w:p>
      <w:pPr>
        <w:spacing w:after="200"/>
        <w:jc w:val="both"/>
      </w:pPr>
      <w:r>
        <w:rPr>
          <w:rFonts w:ascii="Times New Roman" w:cs="Times New Roman" w:eastAsia="Times New Roman" w:hAnsi="Times New Roman"/>
          <w:b/>
          <w:bCs/>
          <w:sz w:val="24"/>
          <w:szCs w:val="24"/>
        </w:rPr>
        <w:t xml:space="preserve">GENERAL PARTNER:</w:t>
      </w:r>
    </w:p>
    <w:p>
      <w:pPr>
        <w:spacing w:before="400"/>
      </w:pPr>
    </w:p>
    <w:p>
      <w:pPr>
        <w:spacing w:after="200"/>
        <w:jc w:val="both"/>
      </w:pPr>
      <w:r>
        <w:rPr>
          <w:rFonts w:ascii="Times New Roman" w:cs="Times New Roman" w:eastAsia="Times New Roman" w:hAnsi="Times New Roman"/>
          <w:b/>
          <w:bCs/>
          <w:sz w:val="24"/>
          <w:szCs w:val="24"/>
        </w:rPr>
        <w:t xml:space="preserve">HUSHH TECHNOLOGIES MIDDLE EAST LLC</w:t>
      </w:r>
    </w:p>
    <w:p>
      <w:pPr>
        <w:spacing w:after="200"/>
        <w:jc w:val="both"/>
      </w:pPr>
      <w:r>
        <w:rPr>
          <w:rFonts w:ascii="Times New Roman" w:cs="Times New Roman" w:eastAsia="Times New Roman" w:hAnsi="Times New Roman"/>
          <w:sz w:val="24"/>
          <w:szCs w:val="24"/>
        </w:rPr>
        <w:t xml:space="preserve">(An ADGM-Registered Limited Liability Company)</w:t>
      </w:r>
    </w:p>
    <w:p>
      <w:pPr>
        <w:spacing w:before="600"/>
      </w:pPr>
    </w:p>
    <w:p>
      <w:pPr>
        <w:spacing w:after="200"/>
        <w:jc w:val="both"/>
      </w:pPr>
      <w:r>
        <w:rPr>
          <w:rFonts w:ascii="Times New Roman" w:cs="Times New Roman" w:eastAsia="Times New Roman" w:hAnsi="Times New Roman"/>
          <w:sz w:val="24"/>
          <w:szCs w:val="24"/>
        </w:rPr>
        <w:t xml:space="preserve">By: ________________________________</w:t>
      </w:r>
    </w:p>
    <w:p>
      <w:pPr>
        <w:spacing w:after="200"/>
        <w:jc w:val="both"/>
      </w:pPr>
      <w:r>
        <w:rPr>
          <w:rFonts w:ascii="Times New Roman" w:cs="Times New Roman" w:eastAsia="Times New Roman" w:hAnsi="Times New Roman"/>
          <w:sz w:val="24"/>
          <w:szCs w:val="24"/>
        </w:rPr>
        <w:t xml:space="preserve">Name: Manish Sainani</w:t>
      </w:r>
    </w:p>
    <w:p>
      <w:pPr>
        <w:spacing w:after="200"/>
        <w:jc w:val="both"/>
      </w:pPr>
      <w:r>
        <w:rPr>
          <w:rFonts w:ascii="Times New Roman" w:cs="Times New Roman" w:eastAsia="Times New Roman" w:hAnsi="Times New Roman"/>
          <w:sz w:val="24"/>
          <w:szCs w:val="24"/>
        </w:rPr>
        <w:t xml:space="preserve">Title: Founder, Chief Executive Officer, and Sole Managing Member</w:t>
      </w:r>
    </w:p>
    <w:p>
      <w:pPr>
        <w:spacing w:after="200"/>
        <w:jc w:val="both"/>
      </w:pPr>
      <w:r>
        <w:rPr>
          <w:rFonts w:ascii="Times New Roman" w:cs="Times New Roman" w:eastAsia="Times New Roman" w:hAnsi="Times New Roman"/>
          <w:sz w:val="24"/>
          <w:szCs w:val="24"/>
        </w:rPr>
        <w:t xml:space="preserve">Date: ________________________________</w:t>
      </w:r>
    </w:p>
    <w:p>
      <w:pPr>
        <w:spacing w:before="1200"/>
      </w:pPr>
    </w:p>
    <w:p>
      <w:pPr>
        <w:spacing w:after="200"/>
        <w:jc w:val="both"/>
      </w:pPr>
      <w:r>
        <w:rPr>
          <w:rFonts w:ascii="Times New Roman" w:cs="Times New Roman" w:eastAsia="Times New Roman" w:hAnsi="Times New Roman"/>
          <w:b/>
          <w:bCs/>
          <w:sz w:val="24"/>
          <w:szCs w:val="24"/>
        </w:rPr>
        <w:t xml:space="preserve">LIMITED PARTNERS:</w:t>
      </w:r>
    </w:p>
    <w:p>
      <w:pPr>
        <w:spacing w:before="400"/>
      </w:pPr>
    </w:p>
    <w:p>
      <w:pPr>
        <w:spacing w:after="200"/>
        <w:jc w:val="both"/>
      </w:pPr>
      <w:r>
        <w:rPr>
          <w:rFonts w:ascii="Times New Roman" w:cs="Times New Roman" w:eastAsia="Times New Roman" w:hAnsi="Times New Roman"/>
          <w:sz w:val="24"/>
          <w:szCs w:val="24"/>
        </w:rPr>
        <w:t xml:space="preserve">Each Limited Partner has executed a Subscription Agreement and counterpart signature page, which are incorporated herein by reference and maintained by the General Partner.</w:t>
      </w:r>
    </w:p>
    <w:p>
      <w:pPr>
        <w:spacing w:before="800"/>
      </w:pPr>
    </w:p>
    <w:p>
      <w:pPr>
        <w:spacing w:after="200"/>
        <w:jc w:val="both"/>
      </w:pPr>
      <w:r>
        <w:rPr>
          <w:rFonts w:ascii="Times New Roman" w:cs="Times New Roman" w:eastAsia="Times New Roman" w:hAnsi="Times New Roman"/>
          <w:sz w:val="24"/>
          <w:szCs w:val="24"/>
        </w:rPr>
        <w:t xml:space="preserve">By: ________________________________</w:t>
      </w:r>
    </w:p>
    <w:p>
      <w:pPr>
        <w:spacing w:after="200"/>
        <w:jc w:val="both"/>
      </w:pPr>
      <w:r>
        <w:rPr>
          <w:rFonts w:ascii="Times New Roman" w:cs="Times New Roman" w:eastAsia="Times New Roman" w:hAnsi="Times New Roman"/>
          <w:sz w:val="24"/>
          <w:szCs w:val="24"/>
        </w:rPr>
        <w:t xml:space="preserve">Name: ________________________________</w:t>
      </w:r>
    </w:p>
    <w:p>
      <w:pPr>
        <w:spacing w:after="200"/>
        <w:jc w:val="both"/>
      </w:pPr>
      <w:r>
        <w:rPr>
          <w:rFonts w:ascii="Times New Roman" w:cs="Times New Roman" w:eastAsia="Times New Roman" w:hAnsi="Times New Roman"/>
          <w:sz w:val="24"/>
          <w:szCs w:val="24"/>
        </w:rPr>
        <w:t xml:space="preserve">Title: ________________________________</w:t>
      </w:r>
    </w:p>
    <w:p>
      <w:pPr>
        <w:spacing w:after="200"/>
        <w:jc w:val="both"/>
      </w:pPr>
      <w:r>
        <w:rPr>
          <w:rFonts w:ascii="Times New Roman" w:cs="Times New Roman" w:eastAsia="Times New Roman" w:hAnsi="Times New Roman"/>
          <w:sz w:val="24"/>
          <w:szCs w:val="24"/>
        </w:rPr>
        <w:t xml:space="preserve">Class of Interest: ________________________________</w:t>
      </w:r>
    </w:p>
    <w:p>
      <w:pPr>
        <w:spacing w:after="200"/>
        <w:jc w:val="both"/>
      </w:pPr>
      <w:r>
        <w:rPr>
          <w:rFonts w:ascii="Times New Roman" w:cs="Times New Roman" w:eastAsia="Times New Roman" w:hAnsi="Times New Roman"/>
          <w:sz w:val="24"/>
          <w:szCs w:val="24"/>
        </w:rPr>
        <w:t xml:space="preserve">Capital Commitment: ________________________________</w:t>
      </w:r>
    </w:p>
    <w:p>
      <w:pPr>
        <w:spacing w:after="200"/>
        <w:jc w:val="both"/>
      </w:pPr>
      <w:r>
        <w:rPr>
          <w:rFonts w:ascii="Times New Roman" w:cs="Times New Roman" w:eastAsia="Times New Roman" w:hAnsi="Times New Roman"/>
          <w:sz w:val="24"/>
          <w:szCs w:val="24"/>
        </w:rPr>
        <w:t xml:space="preserve">Date: ________________________________</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color w:val="888888"/>
        <w:sz w:val="18"/>
        <w:szCs w:val="18"/>
      </w:rPr>
      <w:t xml:space="preserve"> | Confidential - Do Not Distribute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888888"/>
        <w:sz w:val="16"/>
        <w:szCs w:val="16"/>
      </w:rPr>
      <w:t xml:space="preserve">HUSHH ALPHA ALOHA FUND A, LP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before="240" w:after="18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before="200" w:after="120"/>
      <w:outlineLvl w:val="2"/>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2026-03-12T00:59:51.644Z</dcterms:created>
  <dcterms:modified xsi:type="dcterms:W3CDTF">2026-03-12T00:59:51.645Z</dcterms:modified>
</cp:coreProperties>
</file>

<file path=docProps/custom.xml><?xml version="1.0" encoding="utf-8"?>
<Properties xmlns="http://schemas.openxmlformats.org/officeDocument/2006/custom-properties" xmlns:vt="http://schemas.openxmlformats.org/officeDocument/2006/docPropsVTypes"/>
</file>