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repository contains the model development of our </w:t>
      </w:r>
      <w:r w:rsidDel="00000000" w:rsidR="00000000" w:rsidRPr="00000000">
        <w:rPr>
          <w:rFonts w:ascii="Times New Roman" w:cs="Times New Roman" w:eastAsia="Times New Roman" w:hAnsi="Times New Roman"/>
          <w:b w:val="1"/>
          <w:sz w:val="24"/>
          <w:szCs w:val="24"/>
          <w:rtl w:val="0"/>
        </w:rPr>
        <w:t xml:space="preserve">idealized river chemistry model</w:t>
      </w:r>
      <w:r w:rsidDel="00000000" w:rsidR="00000000" w:rsidRPr="00000000">
        <w:rPr>
          <w:rFonts w:ascii="Times New Roman" w:cs="Times New Roman" w:eastAsia="Times New Roman" w:hAnsi="Times New Roman"/>
          <w:sz w:val="24"/>
          <w:szCs w:val="24"/>
          <w:rtl w:val="0"/>
        </w:rPr>
        <w:t xml:space="preserve">, now extended to include </w:t>
      </w:r>
      <w:r w:rsidDel="00000000" w:rsidR="00000000" w:rsidRPr="00000000">
        <w:rPr>
          <w:rFonts w:ascii="Times New Roman" w:cs="Times New Roman" w:eastAsia="Times New Roman" w:hAnsi="Times New Roman"/>
          <w:b w:val="1"/>
          <w:sz w:val="24"/>
          <w:szCs w:val="24"/>
          <w:rtl w:val="0"/>
        </w:rPr>
        <w:t xml:space="preserve">multiple nodes (12 total)</w:t>
      </w:r>
      <w:r w:rsidDel="00000000" w:rsidR="00000000" w:rsidRPr="00000000">
        <w:rPr>
          <w:rFonts w:ascii="Times New Roman" w:cs="Times New Roman" w:eastAsia="Times New Roman" w:hAnsi="Times New Roman"/>
          <w:sz w:val="24"/>
          <w:szCs w:val="24"/>
          <w:rtl w:val="0"/>
        </w:rPr>
        <w:t xml:space="preserve"> representing upstream to downstream river segments.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version (</w:t>
      </w:r>
      <w:r w:rsidDel="00000000" w:rsidR="00000000" w:rsidRPr="00000000">
        <w:rPr>
          <w:rFonts w:ascii="Times New Roman" w:cs="Times New Roman" w:eastAsia="Times New Roman" w:hAnsi="Times New Roman"/>
          <w:rtl w:val="0"/>
        </w:rPr>
        <w:t xml:space="preserve">1.1.1 Idealized_Yukon_Multi_Node_Model</w:t>
      </w:r>
      <w:r w:rsidDel="00000000" w:rsidR="00000000" w:rsidRPr="00000000">
        <w:rPr>
          <w:rFonts w:ascii="Times New Roman" w:cs="Times New Roman" w:eastAsia="Times New Roman" w:hAnsi="Times New Roman"/>
          <w:sz w:val="24"/>
          <w:szCs w:val="24"/>
          <w:rtl w:val="0"/>
        </w:rPr>
        <w:t xml:space="preserve">), we apply:</w:t>
      </w:r>
    </w:p>
    <w:p w:rsidR="00000000" w:rsidDel="00000000" w:rsidP="00000000" w:rsidRDefault="00000000" w:rsidRPr="00000000" w14:paraId="0000000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Slow chemical reactivity</w:t>
      </w:r>
      <w:r w:rsidDel="00000000" w:rsidR="00000000" w:rsidRPr="00000000">
        <w:rPr>
          <w:rFonts w:ascii="Times New Roman" w:cs="Times New Roman" w:eastAsia="Times New Roman" w:hAnsi="Times New Roman"/>
          <w:sz w:val="24"/>
          <w:szCs w:val="24"/>
          <w:rtl w:val="0"/>
        </w:rPr>
        <w:t xml:space="preserve">, and</w:t>
        <w:br w:type="textWrapping"/>
      </w:r>
    </w:p>
    <w:p w:rsidR="00000000" w:rsidDel="00000000" w:rsidP="00000000" w:rsidRDefault="00000000" w:rsidRPr="00000000" w14:paraId="0000000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initial DOC concentration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from our initial two-node model setup: </w:t>
      </w:r>
      <w:r w:rsidDel="00000000" w:rsidR="00000000" w:rsidRPr="00000000">
        <w:rPr>
          <w:rFonts w:ascii="Times New Roman" w:cs="Times New Roman" w:eastAsia="Times New Roman" w:hAnsi="Times New Roman"/>
          <w:b w:val="1"/>
          <w:sz w:val="24"/>
          <w:szCs w:val="24"/>
          <w:rtl w:val="0"/>
        </w:rPr>
        <w:t xml:space="preserve">River_3000km_ChemicalReactivity(slow)_InitialDOC(lower)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extending the model spatially while maintaining these validated chemical settings, we assess how DOC evolves along the full river continuum. These simulations support identifying realistic transformation pathways of dissolved organic carbon (DOC) for Arctic river systems.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methodology and background, please refer to our published study:</w:t>
        <w:br w:type="textWrapping"/>
      </w:r>
      <w:hyperlink r:id="rId6">
        <w:r w:rsidDel="00000000" w:rsidR="00000000" w:rsidRPr="00000000">
          <w:rPr>
            <w:rFonts w:ascii="Times New Roman" w:cs="Times New Roman" w:eastAsia="Times New Roman" w:hAnsi="Times New Roman"/>
            <w:sz w:val="24"/>
            <w:szCs w:val="24"/>
            <w:rtl w:val="0"/>
          </w:rPr>
          <w:t xml:space="preserve"> Atmosphere, 2020 – https://doi.org/10.3390/atmos11101090</w:t>
        </w:r>
      </w:hyperlink>
      <w:r w:rsidDel="00000000" w:rsidR="00000000" w:rsidRPr="00000000">
        <w:rPr>
          <w:rtl w:val="0"/>
        </w:rPr>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390/atmos11101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