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E5AC56EF">
      <w:pPr>
        <w:pStyle w:val="style0"/>
        <w:spacing w:before="0" w:after="80" w:lineRule="auto" w:line="300"/>
        <w:jc w:val="center"/>
        <w:rPr/>
      </w:pPr>
    </w:p>
    <w:p w14:paraId="174B29F6">
      <w:pPr>
        <w:pStyle w:val="style0"/>
        <w:spacing w:before="0" w:after="60" w:lineRule="auto" w:line="300"/>
        <w:jc w:val="center"/>
        <w:rPr>
          <w:color w:val="36363d"/>
        </w:rPr>
      </w:pPr>
      <w:r>
        <w:rPr>
          <w:rFonts w:ascii="Arial" w:cs="Arial" w:eastAsia="Arial" w:hAnsi="Arial"/>
          <w:b/>
          <w:bCs/>
          <w:color w:val="36363d"/>
          <w:sz w:val="30"/>
          <w:szCs w:val="30"/>
        </w:rPr>
        <w:t>AgriConnect: A GIS-Based Farmer-to-Buyer Market Linkage</w:t>
      </w:r>
    </w:p>
    <w:p w14:paraId="77778F3E">
      <w:pPr>
        <w:pStyle w:val="style0"/>
        <w:spacing w:before="0" w:after="200" w:lineRule="auto" w:line="300"/>
        <w:jc w:val="center"/>
        <w:rPr>
          <w:color w:val="36363d"/>
        </w:rPr>
      </w:pPr>
      <w:r>
        <w:rPr>
          <w:rFonts w:ascii="Arial" w:cs="Arial" w:eastAsia="Arial" w:hAnsi="Arial"/>
          <w:b/>
          <w:bCs/>
          <w:color w:val="36363d"/>
          <w:sz w:val="30"/>
          <w:szCs w:val="30"/>
        </w:rPr>
        <w:t>and Crop Reservation System for Manolo Fortich, Bukidnon</w:t>
      </w:r>
    </w:p>
    <w:p w14:paraId="F4B8EFD1">
      <w:pPr>
        <w:pStyle w:val="style0"/>
        <w:spacing w:before="0" w:after="80" w:lineRule="auto" w:line="300"/>
        <w:rPr>
          <w:color w:val="36363d"/>
        </w:rPr>
      </w:pPr>
    </w:p>
    <w:p w14:paraId="804BC39C">
      <w:pPr>
        <w:pStyle w:val="style0"/>
        <w:spacing w:before="0" w:after="60" w:lineRule="auto" w:line="300"/>
        <w:jc w:val="center"/>
        <w:rPr>
          <w:color w:val="36363d"/>
        </w:rPr>
      </w:pPr>
      <w:r>
        <w:rPr>
          <w:rFonts w:ascii="Arial" w:cs="Arial" w:eastAsia="Arial" w:hAnsi="Arial"/>
          <w:b/>
          <w:bCs/>
          <w:color w:val="36363d"/>
          <w:sz w:val="22"/>
          <w:szCs w:val="22"/>
        </w:rPr>
        <w:t>Submitted by:</w:t>
      </w:r>
    </w:p>
    <w:p w14:paraId="AF58083C">
      <w:pPr>
        <w:pStyle w:val="style0"/>
        <w:spacing w:before="0" w:after="40" w:lineRule="auto" w:line="300"/>
        <w:jc w:val="center"/>
        <w:rPr>
          <w:color w:val="36363d"/>
        </w:rPr>
      </w:pPr>
      <w:r>
        <w:rPr>
          <w:color w:val="36363d"/>
          <w:lang w:val="en-US"/>
        </w:rPr>
        <w:t>Manginsay Auggie</w:t>
      </w:r>
    </w:p>
    <w:p w14:paraId="BE3A6D87">
      <w:pPr>
        <w:pStyle w:val="style0"/>
        <w:spacing w:before="0" w:after="40" w:lineRule="auto" w:line="300"/>
        <w:jc w:val="center"/>
        <w:rPr>
          <w:color w:val="36363d"/>
        </w:rPr>
      </w:pPr>
      <w:r>
        <w:rPr>
          <w:color w:val="36363d"/>
          <w:lang w:val="en-US"/>
        </w:rPr>
        <w:t>Cat-awan Rian S</w:t>
      </w:r>
    </w:p>
    <w:p w14:paraId="2F0DADAD">
      <w:pPr>
        <w:pStyle w:val="style0"/>
        <w:spacing w:before="0" w:after="160" w:lineRule="auto" w:line="300"/>
        <w:jc w:val="center"/>
        <w:rPr>
          <w:color w:val="36363d"/>
        </w:rPr>
      </w:pPr>
      <w:r>
        <w:rPr>
          <w:color w:val="36363d"/>
          <w:lang w:val="en-US"/>
        </w:rPr>
        <w:t>Rana Weniel</w:t>
      </w:r>
    </w:p>
    <w:p w14:paraId="C1917218">
      <w:pPr>
        <w:pStyle w:val="style4106"/>
        <w:spacing w:before="360" w:after="120" w:lineRule="auto" w:line="300"/>
        <w:rPr>
          <w:color w:val="36363d"/>
        </w:rPr>
      </w:pPr>
      <w:r>
        <w:rPr>
          <w:rFonts w:ascii="Arial" w:cs="Arial" w:eastAsia="Arial" w:hAnsi="Arial"/>
          <w:b/>
          <w:bCs/>
          <w:color w:val="36363d"/>
          <w:sz w:val="28"/>
          <w:szCs w:val="28"/>
        </w:rPr>
        <w:t>Introduction</w:t>
      </w:r>
    </w:p>
    <w:p w14:paraId="97D90F76">
      <w:pPr>
        <w:pStyle w:val="style0"/>
        <w:spacing w:before="80" w:after="80" w:lineRule="auto" w:line="300"/>
        <w:ind w:firstLine="720"/>
        <w:jc w:val="both"/>
        <w:rPr>
          <w:rFonts w:ascii="Arial" w:cs="Arial" w:eastAsia="Arial" w:hAnsi="Arial"/>
          <w:color w:val="36363d"/>
          <w:sz w:val="22"/>
          <w:szCs w:val="22"/>
          <w:lang w:val="en-US"/>
        </w:rPr>
      </w:pPr>
      <w:r>
        <w:rPr>
          <w:rFonts w:ascii="Arial" w:cs="Arial" w:eastAsia="Arial" w:hAnsi="Arial"/>
          <w:color w:val="36363d"/>
          <w:sz w:val="22"/>
          <w:szCs w:val="22"/>
          <w:lang w:val="en-US"/>
        </w:rPr>
        <w:t>Agriculture is the primary economic foundation of Manolo Fortich, Bukidnon, supporting the production of vegetables, fruits, corn, and pineapple. Despite its strong agricultural potential, many smallholder farmers continue to face challenges in accessing stable and profitable markets. Most rely on middlemen who control pricing, resulting in reduced income and limited market transparency. This dependence on intermediaries restricts farmers' opportunities to connect directly with buyers and maximize their earnings (Nakasone et al., 2014).</w:t>
      </w:r>
    </w:p>
    <w:p w14:paraId="F2ECC94D">
      <w:pPr>
        <w:pStyle w:val="style0"/>
        <w:spacing w:before="80" w:after="80" w:lineRule="auto" w:line="300"/>
        <w:ind w:firstLine="720"/>
        <w:jc w:val="both"/>
        <w:rPr>
          <w:color w:val="36363d"/>
        </w:rPr>
      </w:pPr>
    </w:p>
    <w:p w14:paraId="D3C8803C">
      <w:pPr>
        <w:pStyle w:val="style0"/>
        <w:spacing w:before="80" w:after="80" w:lineRule="auto" w:line="300"/>
        <w:ind w:firstLine="720"/>
        <w:jc w:val="both"/>
        <w:rPr>
          <w:rFonts w:ascii="Arial" w:cs="Arial" w:hAnsi="Arial"/>
          <w:color w:val="36363d"/>
          <w:sz w:val="22"/>
          <w:szCs w:val="22"/>
          <w:lang w:val="en-US"/>
        </w:rPr>
      </w:pPr>
      <w:r>
        <w:rPr>
          <w:rFonts w:ascii="Arial" w:cs="Arial" w:hAnsi="Arial"/>
          <w:color w:val="36363d"/>
          <w:sz w:val="22"/>
          <w:szCs w:val="22"/>
          <w:lang w:val="en-US"/>
        </w:rPr>
        <w:t>The lack of a structured digital agricultural marketplace further contributes to market inefficiencies. Buyers often struggle to locate available crops, identify nearby farms, and determine harvest schedules, while farmers have limited means to secure advance buyers and establish trust with potential customers. These challenges frequently lead to post-harvest losses, unstable income, and inefficient trading practices. Recent studies have shown that digital agricultural platforms, GIS technologies, and secure payment systems can improve market access, increase transparency, and strengthen farmer-buyer relationships (Liu et al., 2021; Abebe &amp; Teka, 2022).</w:t>
      </w:r>
    </w:p>
    <w:p w14:paraId="440452A7">
      <w:pPr>
        <w:pStyle w:val="style0"/>
        <w:spacing w:before="80" w:after="80" w:lineRule="auto" w:line="300"/>
        <w:ind w:firstLine="720"/>
        <w:jc w:val="both"/>
        <w:rPr>
          <w:color w:val="36363d"/>
        </w:rPr>
      </w:pPr>
    </w:p>
    <w:p w14:paraId="86EEC3F6">
      <w:pPr>
        <w:pStyle w:val="style0"/>
        <w:spacing w:before="80" w:after="80" w:lineRule="auto" w:line="300"/>
        <w:ind w:firstLine="720"/>
        <w:jc w:val="both"/>
        <w:rPr>
          <w:rFonts w:ascii="Arial" w:cs="Arial" w:hAnsi="Arial"/>
          <w:color w:val="36363d"/>
          <w:sz w:val="22"/>
          <w:szCs w:val="22"/>
          <w:lang w:val="en-US"/>
        </w:rPr>
      </w:pPr>
      <w:r>
        <w:rPr>
          <w:rFonts w:ascii="Arial" w:cs="Arial" w:hAnsi="Arial"/>
          <w:color w:val="36363d"/>
          <w:sz w:val="22"/>
          <w:szCs w:val="22"/>
          <w:lang w:val="en-US"/>
        </w:rPr>
        <w:t>To address these issues, this study proposes AgriConnect: A GIS-Based Farmer-to-Buyer Market Linkage and Crop Reservation System for Manolo Fortich, Bukidnon. The proposed web-based platform integrates GIS mapping using Leaflet.js, a crop marketplace, advance crop reservation, escrow-based payment processing, harvest scheduling, and a reputation and rating system. By providing a centralized platform for farmers and buyers, AgriConnect aims to improve market accessibility, reduce transaction inefficiencies, enhance trust, and support sustainable agricultural trade within the municipality.</w:t>
      </w:r>
    </w:p>
    <w:p w14:paraId="30316525">
      <w:pPr>
        <w:pStyle w:val="style0"/>
        <w:spacing w:before="80" w:after="80" w:lineRule="auto" w:line="300"/>
        <w:ind w:firstLine="720"/>
        <w:jc w:val="both"/>
        <w:rPr>
          <w:color w:val="36363d"/>
        </w:rPr>
      </w:pPr>
    </w:p>
    <w:p w14:paraId="E831588C">
      <w:pPr>
        <w:pStyle w:val="style0"/>
        <w:spacing w:before="80" w:after="80" w:lineRule="auto" w:line="300"/>
        <w:ind w:firstLine="720"/>
        <w:jc w:val="both"/>
        <w:rPr>
          <w:color w:val="36363d"/>
        </w:rPr>
      </w:pPr>
    </w:p>
    <w:p w14:paraId="19481CFF">
      <w:pPr>
        <w:pStyle w:val="style4106"/>
        <w:spacing w:before="360" w:after="120" w:lineRule="auto" w:line="300"/>
        <w:rPr>
          <w:color w:val="36363d"/>
        </w:rPr>
      </w:pPr>
      <w:r>
        <w:rPr>
          <w:rFonts w:ascii="Arial" w:cs="Arial" w:eastAsia="Arial" w:hAnsi="Arial"/>
          <w:b/>
          <w:bCs/>
          <w:color w:val="36363d"/>
          <w:sz w:val="28"/>
          <w:szCs w:val="28"/>
        </w:rPr>
        <w:t>Statement of the Problem</w:t>
      </w:r>
    </w:p>
    <w:p w14:paraId="F60AEE9A">
      <w:pPr>
        <w:pStyle w:val="style0"/>
        <w:spacing w:before="80" w:after="80" w:lineRule="auto" w:line="300"/>
        <w:ind w:firstLine="720"/>
        <w:jc w:val="both"/>
        <w:rPr>
          <w:rFonts w:ascii="Arial" w:cs="Arial" w:eastAsia="Arial" w:hAnsi="Arial"/>
          <w:color w:val="36363d"/>
          <w:sz w:val="22"/>
          <w:szCs w:val="22"/>
          <w:lang w:val="en-US"/>
        </w:rPr>
      </w:pPr>
      <w:r>
        <w:rPr>
          <w:rFonts w:ascii="Arial" w:cs="Arial" w:eastAsia="Arial" w:hAnsi="Arial"/>
          <w:color w:val="36363d"/>
          <w:sz w:val="22"/>
          <w:szCs w:val="22"/>
          <w:lang w:val="en-US"/>
        </w:rPr>
        <w:t>Agricultural trade in Manolo Fortich, Bukidnon largely relies on informal channels where farmers depend on intermediaries to sell their produce. This dependence often limits farmers' ability to negotiate fair prices and access wider markets, resulting in reduced income and limited market opportunities. The absence of a digital marketplace for direct farmer-to-buyer transactions further strengthens the role of middlemen and restricts market transparency.</w:t>
      </w:r>
    </w:p>
    <w:p w14:paraId="9ACFD950">
      <w:pPr>
        <w:pStyle w:val="style0"/>
        <w:spacing w:before="80" w:after="80" w:lineRule="auto" w:line="300"/>
        <w:ind w:firstLine="720"/>
        <w:jc w:val="both"/>
        <w:rPr>
          <w:color w:val="36363d"/>
        </w:rPr>
      </w:pPr>
    </w:p>
    <w:p w14:paraId="9D3F18D5">
      <w:pPr>
        <w:pStyle w:val="style0"/>
        <w:spacing w:before="80" w:after="80" w:lineRule="auto" w:line="300"/>
        <w:ind w:firstLine="720"/>
        <w:jc w:val="both"/>
        <w:rPr>
          <w:color w:val="36363d"/>
        </w:rPr>
      </w:pPr>
      <w:r>
        <w:rPr>
          <w:rFonts w:ascii="Arial" w:cs="Arial" w:hAnsi="Arial"/>
          <w:color w:val="36363d"/>
          <w:sz w:val="22"/>
          <w:szCs w:val="22"/>
          <w:lang w:val="en-US"/>
        </w:rPr>
        <w:t>Another challenge is the lack of location-based information and planning tools. Buyers have difficulty identifying nearby farms, locating available crops, and planning efficient collection routes, which increases transportation costs and delays. Farmers also lack a platform to publicly display their farm locations, crop availability, and harvest schedules. In addition, there is no advance purchase system that allows buyers to reserve crops before harvest, leading to overproduction, unsold harvests, post-harvest losses, and uncertainty for both farmers and buyers.</w:t>
      </w:r>
    </w:p>
    <w:p w14:paraId="38557F98">
      <w:pPr>
        <w:pStyle w:val="style0"/>
        <w:spacing w:before="80" w:after="80" w:lineRule="auto" w:line="300"/>
        <w:ind w:firstLine="720"/>
        <w:jc w:val="both"/>
        <w:rPr>
          <w:color w:val="36363d"/>
        </w:rPr>
      </w:pPr>
      <w:r>
        <w:rPr>
          <w:rFonts w:ascii="Arial" w:cs="Arial" w:hAnsi="Arial"/>
          <w:color w:val="36363d"/>
          <w:sz w:val="22"/>
          <w:szCs w:val="22"/>
          <w:lang w:val="en-US"/>
        </w:rPr>
        <w:t>Furthermore, the current trading system lacks secure payment mechanisms and a reliable trust infrastructure. There is no escrow system to protect buyers and farmers during transactions, and no reputation system to evaluate the reliability, product quality, or payment behavior of trading partners. As a result, trust is built mainly through personal relationships, limiting market expansion. These challenges highlight the need for a GIS-enabled web-based platform that integrates farm mapping, crop reservation, secure payments, harvest scheduling, and reputation management to improve agricultural trade in Manolo Fortich, Bukidnon.</w:t>
      </w:r>
    </w:p>
    <w:p w14:paraId="B03D3BF1">
      <w:pPr>
        <w:pStyle w:val="style4106"/>
        <w:spacing w:before="360" w:after="120" w:lineRule="auto" w:line="300"/>
        <w:rPr>
          <w:color w:val="36363d"/>
        </w:rPr>
      </w:pPr>
      <w:r>
        <w:rPr>
          <w:rFonts w:ascii="Arial" w:cs="Arial" w:eastAsia="Arial" w:hAnsi="Arial"/>
          <w:b/>
          <w:bCs/>
          <w:color w:val="36363d"/>
          <w:sz w:val="28"/>
          <w:szCs w:val="28"/>
        </w:rPr>
        <w:t>Project Objectives</w:t>
      </w:r>
    </w:p>
    <w:p w14:paraId="E94E73BE">
      <w:pPr>
        <w:pStyle w:val="style4107"/>
        <w:spacing w:before="240" w:after="80" w:lineRule="auto" w:line="300"/>
        <w:rPr>
          <w:color w:val="36363d"/>
        </w:rPr>
      </w:pPr>
      <w:r>
        <w:rPr>
          <w:rFonts w:ascii="Arial" w:cs="Arial" w:eastAsia="Arial" w:hAnsi="Arial"/>
          <w:b/>
          <w:bCs/>
          <w:color w:val="36363d"/>
          <w:sz w:val="24"/>
          <w:szCs w:val="24"/>
        </w:rPr>
        <w:t>General Objective</w:t>
      </w:r>
    </w:p>
    <w:p w14:paraId="3F07FE85">
      <w:pPr>
        <w:pStyle w:val="style0"/>
        <w:spacing w:before="80" w:after="80" w:lineRule="auto" w:line="300"/>
        <w:ind w:firstLine="720"/>
        <w:jc w:val="both"/>
        <w:rPr>
          <w:color w:val="36363d"/>
        </w:rPr>
      </w:pPr>
      <w:r>
        <w:rPr>
          <w:rFonts w:ascii="Arial" w:cs="Arial" w:eastAsia="Arial" w:hAnsi="Arial"/>
          <w:color w:val="36363d"/>
          <w:sz w:val="22"/>
          <w:szCs w:val="22"/>
        </w:rPr>
        <w:t>The general objective of this study is to design and develop AgriConnect, a GIS-based web platform that enables direct farmer-to-buyer market linkage, crop reservation, escrow payment, harvest scheduling, and reputation management for agricultural trade in Manolo Fortich, Bukidnon.</w:t>
      </w:r>
    </w:p>
    <w:p w14:paraId="7A6BE67E">
      <w:pPr>
        <w:pStyle w:val="style4107"/>
        <w:spacing w:before="240" w:after="80" w:lineRule="auto" w:line="300"/>
        <w:rPr>
          <w:color w:val="36363d"/>
        </w:rPr>
      </w:pPr>
      <w:r>
        <w:rPr>
          <w:rFonts w:ascii="Arial" w:cs="Arial" w:eastAsia="Arial" w:hAnsi="Arial"/>
          <w:b/>
          <w:bCs/>
          <w:color w:val="36363d"/>
          <w:sz w:val="24"/>
          <w:szCs w:val="24"/>
        </w:rPr>
        <w:t>Specific Objectives</w:t>
      </w:r>
    </w:p>
    <w:p w14:paraId="D983C734">
      <w:pPr>
        <w:pStyle w:val="style0"/>
        <w:spacing w:before="80" w:after="80" w:lineRule="auto" w:line="300"/>
        <w:jc w:val="both"/>
        <w:rPr>
          <w:color w:val="36363d"/>
          <w:lang w:val="en-US"/>
        </w:rPr>
      </w:pPr>
      <w:r>
        <w:rPr>
          <w:color w:val="36363d"/>
          <w:lang w:val="en-US"/>
        </w:rPr>
        <w:t>1.To develop a GIS-based agricultural marketplace that enables farmers to list crops and allows buyers to locate farms, view crop availability, perform proximity-based searches, and visualize collection routes using an interactive Leaflet.js map.</w:t>
      </w:r>
    </w:p>
    <w:p w14:paraId="68229574">
      <w:pPr>
        <w:pStyle w:val="style0"/>
        <w:spacing w:before="80" w:after="80" w:lineRule="auto" w:line="300"/>
        <w:jc w:val="both"/>
        <w:rPr>
          <w:color w:val="36363d"/>
          <w:lang w:val="en-US"/>
        </w:rPr>
      </w:pPr>
      <w:r>
        <w:rPr>
          <w:color w:val="36363d"/>
          <w:lang w:val="en-US"/>
        </w:rPr>
        <w:t>2.To design and implement a crop reservation and transaction management system that supports advance crop purchases, harvest scheduling, reservation tracking, and escrow-based payment processing to ensure secure and efficient farmer-to-buyer transactions.</w:t>
      </w:r>
    </w:p>
    <w:p w14:paraId="F8F07DA2">
      <w:pPr>
        <w:pStyle w:val="style0"/>
        <w:spacing w:before="80" w:after="80" w:lineRule="auto" w:line="300"/>
        <w:jc w:val="both"/>
        <w:rPr>
          <w:color w:val="36363d"/>
          <w:lang w:val="en-US"/>
        </w:rPr>
      </w:pPr>
      <w:r>
        <w:rPr>
          <w:color w:val="36363d"/>
          <w:lang w:val="en-US"/>
        </w:rPr>
        <w:t>3.To integrate a reputation and evaluation system that provides ratings, reviews, and credibility badges for farmers and buyers, and to assess the functionality, usability, and effectiveness of the system through testing and user evaluation.</w:t>
      </w:r>
    </w:p>
    <w:p w14:paraId="8CAB2BAC">
      <w:pPr>
        <w:pStyle w:val="style0"/>
        <w:spacing w:before="80" w:after="80" w:lineRule="auto" w:line="300"/>
        <w:ind w:firstLine="720"/>
        <w:jc w:val="both"/>
        <w:rPr>
          <w:color w:val="36363d"/>
        </w:rPr>
      </w:pPr>
    </w:p>
    <w:p w14:paraId="AC5CC527">
      <w:pPr>
        <w:pStyle w:val="style0"/>
        <w:spacing w:before="80" w:after="80" w:lineRule="auto" w:line="300"/>
        <w:jc w:val="both"/>
        <w:rPr>
          <w:color w:val="36363d"/>
        </w:rPr>
      </w:pPr>
      <w:r>
        <w:rPr>
          <w:b/>
          <w:bCs/>
          <w:color w:val="36363d"/>
          <w:lang w:val="en-US"/>
        </w:rPr>
        <w:t>AgriConnect integrates a Geographic Information System (GIS)</w:t>
      </w:r>
      <w:r>
        <w:rPr>
          <w:color w:val="36363d"/>
          <w:lang w:val="en-US"/>
        </w:rPr>
        <w:t xml:space="preserve"> using Leaflet.js to help buyers and farmers connect through location-based services. Registered farms are displayed on an interactive map showing farm locations, available crops, quantities, and reservation status. Buyers can search for nearby farms, filter farms by crop type, and view optimized collection routes when purchasing from multiple farms. This feature improves sourcing efficiency and reduces transportation costs while utilizing a cost-effective open-source mapping solution.</w:t>
      </w:r>
    </w:p>
    <w:p w14:paraId="887A1974">
      <w:pPr>
        <w:pStyle w:val="style0"/>
        <w:spacing w:before="80" w:after="80" w:lineRule="auto" w:line="300"/>
        <w:ind w:firstLine="720"/>
        <w:jc w:val="both"/>
        <w:rPr>
          <w:color w:val="36363d"/>
        </w:rPr>
      </w:pPr>
    </w:p>
    <w:p w14:paraId="33D052AF">
      <w:pPr>
        <w:pStyle w:val="style0"/>
        <w:spacing w:before="80" w:after="80" w:lineRule="auto" w:line="300"/>
        <w:jc w:val="both"/>
        <w:rPr>
          <w:b/>
          <w:bCs/>
          <w:color w:val="36363d"/>
          <w:lang w:val="en-US"/>
        </w:rPr>
      </w:pPr>
      <w:r>
        <w:rPr>
          <w:b/>
          <w:bCs/>
          <w:color w:val="36363d"/>
          <w:lang w:val="en-US"/>
        </w:rPr>
        <w:t>Advance Purchase and Crop Reservation System</w:t>
      </w:r>
    </w:p>
    <w:p w14:paraId="24957633">
      <w:pPr>
        <w:pStyle w:val="style0"/>
        <w:spacing w:before="80" w:after="80" w:lineRule="auto" w:line="300"/>
        <w:ind w:firstLine="720"/>
        <w:jc w:val="both"/>
        <w:rPr>
          <w:color w:val="36363d"/>
        </w:rPr>
      </w:pPr>
    </w:p>
    <w:p w14:paraId="DAE10483">
      <w:pPr>
        <w:pStyle w:val="style0"/>
        <w:spacing w:before="80" w:after="80" w:lineRule="auto" w:line="300"/>
        <w:ind w:firstLine="720"/>
        <w:jc w:val="both"/>
        <w:rPr>
          <w:color w:val="36363d"/>
          <w:lang w:val="en-US"/>
        </w:rPr>
      </w:pPr>
      <w:r>
        <w:rPr>
          <w:color w:val="36363d"/>
          <w:lang w:val="en-US"/>
        </w:rPr>
        <w:t>AgriConnect allows farmers to post future crop listings that include crop type, estimated harvest date, quantity, and price. Buyers can reserve crops before harvest through the platform, creating a formal agreement between both parties. Reservations follow a transaction lifecycle consisting of Pending, Confirmed, Ready, Completed, and Cancelled statuses. The system also incorporates an escrow payment mechanism, ensuring that payments are released to farmers only after buyers confirm receipt of the crops. This feature helps farmers secure buyers in advance and reduces market uncertainty.</w:t>
      </w:r>
    </w:p>
    <w:p w14:paraId="53B0DD69">
      <w:pPr>
        <w:pStyle w:val="style0"/>
        <w:spacing w:before="80" w:after="80" w:lineRule="auto" w:line="300"/>
        <w:ind w:firstLine="720"/>
        <w:jc w:val="both"/>
        <w:rPr>
          <w:color w:val="36363d"/>
        </w:rPr>
      </w:pPr>
    </w:p>
    <w:p w14:paraId="62E939B7">
      <w:pPr>
        <w:pStyle w:val="style0"/>
        <w:spacing w:before="80" w:after="80" w:lineRule="auto" w:line="300"/>
        <w:jc w:val="both"/>
        <w:rPr>
          <w:b/>
          <w:bCs/>
          <w:color w:val="36363d"/>
          <w:lang w:val="en-US"/>
        </w:rPr>
      </w:pPr>
      <w:r>
        <w:rPr>
          <w:b/>
          <w:bCs/>
          <w:color w:val="36363d"/>
          <w:lang w:val="en-US"/>
        </w:rPr>
        <w:t>Reputation and Rating System</w:t>
      </w:r>
    </w:p>
    <w:p w14:paraId="5720ADBC">
      <w:pPr>
        <w:pStyle w:val="style0"/>
        <w:spacing w:before="80" w:after="80" w:lineRule="auto" w:line="300"/>
        <w:ind w:firstLine="720"/>
        <w:jc w:val="both"/>
        <w:rPr>
          <w:color w:val="36363d"/>
        </w:rPr>
      </w:pPr>
    </w:p>
    <w:p w14:paraId="728B6FA7">
      <w:pPr>
        <w:pStyle w:val="style0"/>
        <w:spacing w:before="80" w:after="80" w:lineRule="auto" w:line="300"/>
        <w:ind w:firstLine="720"/>
        <w:jc w:val="both"/>
        <w:rPr>
          <w:color w:val="36363d"/>
          <w:lang w:val="en-US"/>
        </w:rPr>
      </w:pPr>
      <w:r>
        <w:rPr>
          <w:color w:val="36363d"/>
          <w:lang w:val="en-US"/>
        </w:rPr>
        <w:t>To promote trust and accountability, AgriConnect includes a reputation and rating system for both farmers and buyers. After each completed transaction, users can evaluate one another based on criteria such as product quality, reliability, communication, and payment compliance. Ratings contribute to an overall reputation score displayed on user profiles. The system also awards badges such as Verified Farmer, Trusted Buyer, and Top Rated User to recognize reliable participants. These ratings and badges improve transparency, encourage responsible behavior, and help users make informed trading decisions.</w:t>
      </w:r>
    </w:p>
    <w:p w14:paraId="0F49542F">
      <w:pPr>
        <w:pStyle w:val="style0"/>
        <w:spacing w:before="80" w:after="80" w:lineRule="auto" w:line="300"/>
        <w:ind w:firstLine="720"/>
        <w:jc w:val="both"/>
        <w:rPr>
          <w:color w:val="36363d"/>
        </w:rPr>
      </w:pPr>
    </w:p>
    <w:p w14:paraId="6B6105FE">
      <w:pPr>
        <w:pStyle w:val="style0"/>
        <w:spacing w:before="80" w:after="80" w:lineRule="auto" w:line="300"/>
        <w:ind w:firstLine="720"/>
        <w:jc w:val="both"/>
        <w:rPr>
          <w:color w:val="36363d"/>
        </w:rPr>
      </w:pPr>
      <w:r>
        <w:rPr>
          <w:color w:val="36363d"/>
          <w:lang w:val="en-US"/>
        </w:rPr>
        <w:t>Overall, AgriConnect combines GIS mapping, advance crop reservation, secure payment processing, and reputation management to create a more efficient, transparent, and reliable agricultural marketplace for farmers and buyers in Manolo Fortich, Bukidnon.</w:t>
      </w:r>
    </w:p>
    <w:p w14:paraId="C0E9E5E8">
      <w:pPr>
        <w:pStyle w:val="style0"/>
        <w:spacing w:lineRule="auto" w:line="300"/>
        <w:rPr>
          <w:color w:val="36363d"/>
        </w:rPr>
      </w:pPr>
    </w:p>
    <w:p w14:paraId="AEE1CE2C">
      <w:pPr>
        <w:pStyle w:val="style4106"/>
        <w:spacing w:before="360" w:after="120" w:lineRule="auto" w:line="300"/>
        <w:rPr>
          <w:color w:val="36363d"/>
        </w:rPr>
      </w:pPr>
      <w:r>
        <w:rPr>
          <w:rFonts w:ascii="Arial" w:cs="Arial" w:eastAsia="Arial" w:hAnsi="Arial"/>
          <w:b/>
          <w:bCs/>
          <w:color w:val="36363d"/>
          <w:sz w:val="28"/>
          <w:szCs w:val="28"/>
        </w:rPr>
        <w:t>Review of Related Literature</w:t>
      </w:r>
    </w:p>
    <w:p w14:paraId="22C8FBFC">
      <w:pPr>
        <w:pStyle w:val="style0"/>
        <w:spacing w:before="80" w:after="80" w:lineRule="auto" w:line="300"/>
        <w:ind w:firstLine="720"/>
        <w:jc w:val="both"/>
        <w:rPr>
          <w:color w:val="36363d"/>
        </w:rPr>
      </w:pPr>
      <w:r>
        <w:rPr>
          <w:rFonts w:ascii="Arial" w:cs="Arial" w:eastAsia="Arial" w:hAnsi="Arial"/>
          <w:color w:val="36363d"/>
          <w:sz w:val="22"/>
          <w:szCs w:val="22"/>
        </w:rPr>
        <w:t>The development of digital agricultural market platforms has been extensively examined in relation to smallholder farmer welfare, market efficiency, and supply chain outcomes in developing country contexts. Nakasone et al. (2014) established that access to market price information through ICT-based platforms enables farmers to negotiate improved prices and substantially reduces structural dependence on intermediary traders. Liu et al. (2021), in a systematic review of agricultural e-commerce platforms, confirmed that digital platforms reduce transaction costs, improve price discovery, and increase market efficiency when integrated with secure payment and logistics coordination mechanisms. Bai et al. (2021) further demonstrated that platforms combining direct market linkage with logistics coordination components produce measurable increases in farmer profitability and reductions in post-harvest crop losses.</w:t>
      </w:r>
    </w:p>
    <w:p w14:paraId="CFF5919B">
      <w:pPr>
        <w:pStyle w:val="style0"/>
        <w:spacing w:before="80" w:after="80" w:lineRule="auto" w:line="300"/>
        <w:ind w:firstLine="720"/>
        <w:jc w:val="both"/>
        <w:rPr>
          <w:color w:val="36363d"/>
        </w:rPr>
      </w:pPr>
      <w:r>
        <w:rPr>
          <w:rFonts w:ascii="Arial" w:cs="Arial" w:eastAsia="Arial" w:hAnsi="Arial"/>
          <w:color w:val="36363d"/>
          <w:sz w:val="22"/>
          <w:szCs w:val="22"/>
        </w:rPr>
        <w:t>The application of GIS technologies in agricultural systems has been shown to directly improve market accessibility and logistics performance outcomes. Tripathi and Bhavani (2022) demonstrated that mapping library integration in agricultural e-commerce platforms significantly improves farm discovery, buyer navigation, and platform usability in rural contexts, directly supporting the design rationale for AgriConnect's Leaflet GIS module. Ogunyemi et al. (2020) found that GIS-based spatial analysis tools enable smallholder farmers to identify optimal market linkages and reduce transportation costs by an average of 23 percent. Chen et al. (2021) established that GIS mapping of agricultural markets reduces logistical inefficiencies and measurably improves farmer access to actionable market information within rural supply chain environments.</w:t>
      </w:r>
    </w:p>
    <w:p w14:paraId="D4F0618A">
      <w:pPr>
        <w:pStyle w:val="style0"/>
        <w:spacing w:before="80" w:after="80" w:lineRule="auto" w:line="300"/>
        <w:ind w:firstLine="720"/>
        <w:jc w:val="both"/>
        <w:rPr>
          <w:rFonts w:ascii="Arial" w:cs="Arial" w:eastAsia="Arial" w:hAnsi="Arial"/>
          <w:color w:val="36363d"/>
          <w:sz w:val="22"/>
          <w:szCs w:val="22"/>
        </w:rPr>
      </w:pPr>
      <w:r>
        <w:rPr>
          <w:rFonts w:ascii="Arial" w:cs="Arial" w:eastAsia="Arial" w:hAnsi="Arial"/>
          <w:color w:val="36363d"/>
          <w:sz w:val="22"/>
          <w:szCs w:val="22"/>
        </w:rPr>
        <w:t>The literature on advance purchase and crop reservation systems consistently affirms their value for agricultural supply chain stability and smallholder income security. Demmler et al. (2022) found that advance purchase agreements provide farmers with a critical production planning mechanism that reduces income uncertainty by securing committed buyers prior to harvest. Kathage et al. (2022) demonstrated that digital harvest scheduling tools improve supply chain predictability and enable buyers to plan procurement activities more efficiently. Chowdhury et al. (2023) confirmed that escrow payment systems in agricultural e-commerce significantly increase transactional trust and reduce the frequency of disputes between buyers and sellers. Guo et al. (2023) found that structured reputation and rating mechanisms in agricultural marketplaces positively influence buyer confidence, seller accountability, and overall transaction quality, providing direct empirical support for the dual-profile reputation system incorporated into AgriConnect. Farnworth et al. (2021) further noted that digital market linkage platforms improve inclusive participation when designed with accessible interfaces and embedded trust mechanisms, an observation that informs AgriConnect's design approach for smallholder farmers in Bukidnon. Svensson and Yanagizawa (2009) additionally confirmed that digital market information services measurably increase farm-gate prices by reducing information asymmetry between farmers and buyers, a core goal addressed by the AgriConnect direct linkage marketplace.</w:t>
      </w:r>
    </w:p>
    <w:p w14:paraId="7755BB2F">
      <w:pPr>
        <w:pStyle w:val="style0"/>
        <w:spacing w:before="80" w:after="80" w:lineRule="auto" w:line="300"/>
        <w:ind w:firstLine="720"/>
        <w:jc w:val="both"/>
        <w:rPr>
          <w:color w:val="36363d"/>
        </w:rPr>
      </w:pPr>
    </w:p>
    <w:p w14:paraId="5BF9B975">
      <w:pPr>
        <w:pStyle w:val="style0"/>
        <w:spacing w:before="80" w:after="80" w:lineRule="auto" w:line="300"/>
        <w:ind w:firstLine="720"/>
        <w:jc w:val="both"/>
        <w:rPr>
          <w:color w:val="36363d"/>
        </w:rPr>
      </w:pPr>
    </w:p>
    <w:p w14:paraId="CCEB7720">
      <w:pPr>
        <w:pStyle w:val="style0"/>
        <w:spacing w:before="80" w:after="80" w:lineRule="auto" w:line="300"/>
        <w:ind w:firstLine="720"/>
        <w:jc w:val="both"/>
        <w:rPr>
          <w:color w:val="36363d"/>
        </w:rPr>
      </w:pPr>
    </w:p>
    <w:p w14:paraId="7FC6CB53">
      <w:pPr>
        <w:pStyle w:val="style0"/>
        <w:spacing w:before="80" w:after="80" w:lineRule="auto" w:line="300"/>
        <w:ind w:firstLine="720"/>
        <w:jc w:val="both"/>
        <w:rPr>
          <w:color w:val="36363d"/>
        </w:rPr>
      </w:pPr>
    </w:p>
    <w:p w14:paraId="AFBE107F">
      <w:pPr>
        <w:pStyle w:val="style4107"/>
        <w:spacing w:before="240" w:after="80" w:lineRule="auto" w:line="300"/>
        <w:rPr>
          <w:color w:val="36363d"/>
        </w:rPr>
      </w:pPr>
      <w:r>
        <w:rPr>
          <w:rFonts w:ascii="Arial" w:cs="Arial" w:eastAsia="Arial" w:hAnsi="Arial"/>
          <w:b/>
          <w:bCs/>
          <w:color w:val="36363d"/>
          <w:sz w:val="24"/>
          <w:szCs w:val="24"/>
        </w:rPr>
        <w:t>Matrix of Related Literature</w:t>
      </w:r>
    </w:p>
    <w:p w14:paraId="18EFAFAB">
      <w:pPr>
        <w:pStyle w:val="style0"/>
        <w:spacing w:before="0" w:after="80" w:lineRule="auto" w:line="300"/>
        <w:rPr>
          <w:color w:val="36363d"/>
        </w:rPr>
      </w:pPr>
    </w:p>
    <w:tbl>
      <w:tblPr>
        <w:tblStyle w:val="style154"/>
        <w:tblW w:w="9360" w:type="dxa"/>
        <w:tblLook w:val="0400" w:firstRow="0" w:lastRow="0" w:firstColumn="0" w:lastColumn="0" w:noHBand="0" w:noVBand="1"/>
      </w:tblPr>
      <w:tblGrid>
        <w:gridCol w:w="1800"/>
        <w:gridCol w:w="3280"/>
        <w:gridCol w:w="4280"/>
      </w:tblGrid>
      <w:tr w14:paraId="B41E88CB">
        <w:trPr>
          <w:tblHeader/>
        </w:trPr>
        <w:tc>
          <w:tcPr>
            <w:tcW w:w="1800" w:type="dxa"/>
            <w:tcBorders>
              <w:top w:val="single" w:sz="4" w:space="0" w:color="000000"/>
              <w:left w:val="single" w:sz="4" w:space="0" w:color="000000"/>
              <w:bottom w:val="single" w:sz="4" w:space="0" w:color="000000"/>
              <w:right w:val="single" w:sz="4" w:space="0" w:color="000000"/>
            </w:tcBorders>
            <w:vAlign w:val="center"/>
          </w:tcPr>
          <w:p w14:paraId="2F0DC751">
            <w:pPr>
              <w:pStyle w:val="style0"/>
              <w:spacing w:lineRule="auto" w:line="300"/>
              <w:jc w:val="center"/>
              <w:rPr>
                <w:color w:val="36363d"/>
              </w:rPr>
            </w:pPr>
            <w:r>
              <w:rPr>
                <w:rFonts w:ascii="Arial" w:cs="Arial" w:eastAsia="Arial" w:hAnsi="Arial"/>
                <w:b/>
                <w:bCs/>
                <w:color w:val="36363d"/>
                <w:sz w:val="20"/>
                <w:szCs w:val="20"/>
              </w:rPr>
              <w:t>Author(s) and Year</w:t>
            </w:r>
          </w:p>
        </w:tc>
        <w:tc>
          <w:tcPr>
            <w:tcW w:w="3280" w:type="dxa"/>
            <w:tcBorders>
              <w:top w:val="single" w:sz="4" w:space="0" w:color="000000"/>
              <w:left w:val="single" w:sz="4" w:space="0" w:color="000000"/>
              <w:bottom w:val="single" w:sz="4" w:space="0" w:color="000000"/>
              <w:right w:val="single" w:sz="4" w:space="0" w:color="000000"/>
            </w:tcBorders>
            <w:vAlign w:val="center"/>
          </w:tcPr>
          <w:p w14:paraId="FD9FC7D6">
            <w:pPr>
              <w:pStyle w:val="style0"/>
              <w:spacing w:lineRule="auto" w:line="300"/>
              <w:jc w:val="center"/>
              <w:rPr>
                <w:color w:val="36363d"/>
              </w:rPr>
            </w:pPr>
            <w:r>
              <w:rPr>
                <w:rFonts w:ascii="Arial" w:cs="Arial" w:eastAsia="Arial" w:hAnsi="Arial"/>
                <w:b/>
                <w:bCs/>
                <w:color w:val="36363d"/>
                <w:sz w:val="20"/>
                <w:szCs w:val="20"/>
              </w:rPr>
              <w:t>Key Findings</w:t>
            </w:r>
          </w:p>
        </w:tc>
        <w:tc>
          <w:tcPr>
            <w:tcW w:w="4280" w:type="dxa"/>
            <w:tcBorders>
              <w:top w:val="single" w:sz="4" w:space="0" w:color="000000"/>
              <w:left w:val="single" w:sz="4" w:space="0" w:color="000000"/>
              <w:bottom w:val="single" w:sz="4" w:space="0" w:color="000000"/>
              <w:right w:val="single" w:sz="4" w:space="0" w:color="000000"/>
            </w:tcBorders>
            <w:vAlign w:val="center"/>
          </w:tcPr>
          <w:p w14:paraId="BA8CFD6A">
            <w:pPr>
              <w:pStyle w:val="style0"/>
              <w:spacing w:lineRule="auto" w:line="300"/>
              <w:jc w:val="center"/>
              <w:rPr>
                <w:color w:val="36363d"/>
              </w:rPr>
            </w:pPr>
            <w:r>
              <w:rPr>
                <w:rFonts w:ascii="Arial" w:cs="Arial" w:eastAsia="Arial" w:hAnsi="Arial"/>
                <w:b/>
                <w:bCs/>
                <w:color w:val="36363d"/>
                <w:sz w:val="20"/>
                <w:szCs w:val="20"/>
              </w:rPr>
              <w:t>Relevance to AgriConnect</w:t>
            </w:r>
          </w:p>
        </w:tc>
      </w:tr>
      <w:tr w14:paraId="C92CEC28">
        <w:tblPrEx/>
        <w:trPr/>
        <w:tc>
          <w:tcPr>
            <w:tcW w:w="1800" w:type="dxa"/>
            <w:tcBorders>
              <w:top w:val="single" w:sz="4" w:space="0" w:color="000000"/>
              <w:left w:val="single" w:sz="4" w:space="0" w:color="000000"/>
              <w:bottom w:val="single" w:sz="4" w:space="0" w:color="000000"/>
              <w:right w:val="single" w:sz="4" w:space="0" w:color="000000"/>
            </w:tcBorders>
          </w:tcPr>
          <w:p w14:paraId="AC461B37">
            <w:pPr>
              <w:pStyle w:val="style0"/>
              <w:spacing w:lineRule="auto" w:line="300"/>
              <w:jc w:val="left"/>
              <w:rPr>
                <w:color w:val="36363d"/>
              </w:rPr>
            </w:pPr>
            <w:r>
              <w:rPr>
                <w:rFonts w:ascii="Arial" w:cs="Arial" w:eastAsia="Arial" w:hAnsi="Arial"/>
                <w:color w:val="36363d"/>
                <w:sz w:val="20"/>
                <w:szCs w:val="20"/>
              </w:rPr>
              <w:t>Nakasone et al. (2014)</w:t>
            </w:r>
          </w:p>
        </w:tc>
        <w:tc>
          <w:tcPr>
            <w:tcW w:w="3280" w:type="dxa"/>
            <w:tcBorders>
              <w:top w:val="single" w:sz="4" w:space="0" w:color="000000"/>
              <w:left w:val="single" w:sz="4" w:space="0" w:color="000000"/>
              <w:bottom w:val="single" w:sz="4" w:space="0" w:color="000000"/>
              <w:right w:val="single" w:sz="4" w:space="0" w:color="000000"/>
            </w:tcBorders>
          </w:tcPr>
          <w:p w14:paraId="D634157D">
            <w:pPr>
              <w:pStyle w:val="style0"/>
              <w:spacing w:lineRule="auto" w:line="300"/>
              <w:jc w:val="left"/>
              <w:rPr>
                <w:color w:val="36363d"/>
              </w:rPr>
            </w:pPr>
            <w:r>
              <w:rPr>
                <w:rFonts w:ascii="Arial" w:cs="Arial" w:eastAsia="Arial" w:hAnsi="Arial"/>
                <w:color w:val="36363d"/>
                <w:sz w:val="20"/>
                <w:szCs w:val="20"/>
              </w:rPr>
              <w:t>ICT-based market information platforms reduce farmer dependence on intermediaries and improve price negotiation outcomes.</w:t>
            </w:r>
          </w:p>
        </w:tc>
        <w:tc>
          <w:tcPr>
            <w:tcW w:w="4280" w:type="dxa"/>
            <w:tcBorders>
              <w:top w:val="single" w:sz="4" w:space="0" w:color="000000"/>
              <w:left w:val="single" w:sz="4" w:space="0" w:color="000000"/>
              <w:bottom w:val="single" w:sz="4" w:space="0" w:color="000000"/>
              <w:right w:val="single" w:sz="4" w:space="0" w:color="000000"/>
            </w:tcBorders>
          </w:tcPr>
          <w:p w14:paraId="C591D67C">
            <w:pPr>
              <w:pStyle w:val="style0"/>
              <w:spacing w:lineRule="auto" w:line="300"/>
              <w:jc w:val="left"/>
              <w:rPr>
                <w:color w:val="36363d"/>
              </w:rPr>
            </w:pPr>
            <w:r>
              <w:rPr>
                <w:rFonts w:ascii="Arial" w:cs="Arial" w:eastAsia="Arial" w:hAnsi="Arial"/>
                <w:color w:val="36363d"/>
                <w:sz w:val="20"/>
                <w:szCs w:val="20"/>
              </w:rPr>
              <w:t>Supports AgriConnect's goal of providing farmers with direct market access and price transparency.</w:t>
            </w:r>
          </w:p>
        </w:tc>
      </w:tr>
      <w:tr w14:paraId="DFC43C39">
        <w:tblPrEx/>
        <w:trPr/>
        <w:tc>
          <w:tcPr>
            <w:tcW w:w="1800" w:type="dxa"/>
            <w:tcBorders>
              <w:top w:val="single" w:sz="4" w:space="0" w:color="000000"/>
              <w:left w:val="single" w:sz="4" w:space="0" w:color="000000"/>
              <w:bottom w:val="single" w:sz="4" w:space="0" w:color="000000"/>
              <w:right w:val="single" w:sz="4" w:space="0" w:color="000000"/>
            </w:tcBorders>
          </w:tcPr>
          <w:p w14:paraId="B3ECA977">
            <w:pPr>
              <w:pStyle w:val="style0"/>
              <w:spacing w:lineRule="auto" w:line="300"/>
              <w:jc w:val="left"/>
              <w:rPr>
                <w:color w:val="36363d"/>
              </w:rPr>
            </w:pPr>
            <w:r>
              <w:rPr>
                <w:rFonts w:ascii="Arial" w:cs="Arial" w:eastAsia="Arial" w:hAnsi="Arial"/>
                <w:color w:val="36363d"/>
                <w:sz w:val="20"/>
                <w:szCs w:val="20"/>
              </w:rPr>
              <w:t>Liu et al. (2021)</w:t>
            </w:r>
          </w:p>
        </w:tc>
        <w:tc>
          <w:tcPr>
            <w:tcW w:w="3280" w:type="dxa"/>
            <w:tcBorders>
              <w:top w:val="single" w:sz="4" w:space="0" w:color="000000"/>
              <w:left w:val="single" w:sz="4" w:space="0" w:color="000000"/>
              <w:bottom w:val="single" w:sz="4" w:space="0" w:color="000000"/>
              <w:right w:val="single" w:sz="4" w:space="0" w:color="000000"/>
            </w:tcBorders>
          </w:tcPr>
          <w:p w14:paraId="A2351157">
            <w:pPr>
              <w:pStyle w:val="style0"/>
              <w:spacing w:lineRule="auto" w:line="300"/>
              <w:jc w:val="left"/>
              <w:rPr>
                <w:color w:val="36363d"/>
              </w:rPr>
            </w:pPr>
            <w:r>
              <w:rPr>
                <w:rFonts w:ascii="Arial" w:cs="Arial" w:eastAsia="Arial" w:hAnsi="Arial"/>
                <w:color w:val="36363d"/>
                <w:sz w:val="20"/>
                <w:szCs w:val="20"/>
              </w:rPr>
              <w:t>Digital agricultural e-commerce platforms reduce transaction costs, improve price discovery, and increase market efficiency when integrated with secure payment and logistics mechanisms.</w:t>
            </w:r>
          </w:p>
        </w:tc>
        <w:tc>
          <w:tcPr>
            <w:tcW w:w="4280" w:type="dxa"/>
            <w:tcBorders>
              <w:top w:val="single" w:sz="4" w:space="0" w:color="000000"/>
              <w:left w:val="single" w:sz="4" w:space="0" w:color="000000"/>
              <w:bottom w:val="single" w:sz="4" w:space="0" w:color="000000"/>
              <w:right w:val="single" w:sz="4" w:space="0" w:color="000000"/>
            </w:tcBorders>
          </w:tcPr>
          <w:p w14:paraId="EC9F4301">
            <w:pPr>
              <w:pStyle w:val="style0"/>
              <w:spacing w:lineRule="auto" w:line="300"/>
              <w:jc w:val="left"/>
              <w:rPr>
                <w:color w:val="36363d"/>
              </w:rPr>
            </w:pPr>
            <w:r>
              <w:rPr>
                <w:rFonts w:ascii="Arial" w:cs="Arial" w:eastAsia="Arial" w:hAnsi="Arial"/>
                <w:color w:val="36363d"/>
                <w:sz w:val="20"/>
                <w:szCs w:val="20"/>
              </w:rPr>
              <w:t>Supports the overall platform architecture combining a crop marketplace, escrow payment, and harvest scheduling.</w:t>
            </w:r>
          </w:p>
        </w:tc>
      </w:tr>
      <w:tr w14:paraId="7E3ABBE8">
        <w:tblPrEx/>
        <w:trPr/>
        <w:tc>
          <w:tcPr>
            <w:tcW w:w="1800" w:type="dxa"/>
            <w:tcBorders>
              <w:top w:val="single" w:sz="4" w:space="0" w:color="000000"/>
              <w:left w:val="single" w:sz="4" w:space="0" w:color="000000"/>
              <w:bottom w:val="single" w:sz="4" w:space="0" w:color="000000"/>
              <w:right w:val="single" w:sz="4" w:space="0" w:color="000000"/>
            </w:tcBorders>
          </w:tcPr>
          <w:p w14:paraId="ACE6FFB4">
            <w:pPr>
              <w:pStyle w:val="style0"/>
              <w:spacing w:lineRule="auto" w:line="300"/>
              <w:jc w:val="left"/>
              <w:rPr>
                <w:color w:val="36363d"/>
              </w:rPr>
            </w:pPr>
            <w:r>
              <w:rPr>
                <w:rFonts w:ascii="Arial" w:cs="Arial" w:eastAsia="Arial" w:hAnsi="Arial"/>
                <w:color w:val="36363d"/>
                <w:sz w:val="20"/>
                <w:szCs w:val="20"/>
              </w:rPr>
              <w:t>Bai et al. (2021)</w:t>
            </w:r>
          </w:p>
        </w:tc>
        <w:tc>
          <w:tcPr>
            <w:tcW w:w="3280" w:type="dxa"/>
            <w:tcBorders>
              <w:top w:val="single" w:sz="4" w:space="0" w:color="000000"/>
              <w:left w:val="single" w:sz="4" w:space="0" w:color="000000"/>
              <w:bottom w:val="single" w:sz="4" w:space="0" w:color="000000"/>
              <w:right w:val="single" w:sz="4" w:space="0" w:color="000000"/>
            </w:tcBorders>
          </w:tcPr>
          <w:p w14:paraId="5A835483">
            <w:pPr>
              <w:pStyle w:val="style0"/>
              <w:spacing w:lineRule="auto" w:line="300"/>
              <w:jc w:val="left"/>
              <w:rPr>
                <w:color w:val="36363d"/>
              </w:rPr>
            </w:pPr>
            <w:r>
              <w:rPr>
                <w:rFonts w:ascii="Arial" w:cs="Arial" w:eastAsia="Arial" w:hAnsi="Arial"/>
                <w:color w:val="36363d"/>
                <w:sz w:val="20"/>
                <w:szCs w:val="20"/>
              </w:rPr>
              <w:t>Digital platforms integrating market linkage with logistics coordination substantially increase farmer profitability and reduce post-harvest losses.</w:t>
            </w:r>
          </w:p>
        </w:tc>
        <w:tc>
          <w:tcPr>
            <w:tcW w:w="4280" w:type="dxa"/>
            <w:tcBorders>
              <w:top w:val="single" w:sz="4" w:space="0" w:color="000000"/>
              <w:left w:val="single" w:sz="4" w:space="0" w:color="000000"/>
              <w:bottom w:val="single" w:sz="4" w:space="0" w:color="000000"/>
              <w:right w:val="single" w:sz="4" w:space="0" w:color="000000"/>
            </w:tcBorders>
          </w:tcPr>
          <w:p w14:paraId="C8C9AFEA">
            <w:pPr>
              <w:pStyle w:val="style0"/>
              <w:spacing w:lineRule="auto" w:line="300"/>
              <w:jc w:val="left"/>
              <w:rPr>
                <w:color w:val="36363d"/>
              </w:rPr>
            </w:pPr>
            <w:r>
              <w:rPr>
                <w:rFonts w:ascii="Arial" w:cs="Arial" w:eastAsia="Arial" w:hAnsi="Arial"/>
                <w:color w:val="36363d"/>
                <w:sz w:val="20"/>
                <w:szCs w:val="20"/>
              </w:rPr>
              <w:t>Validates AgriConnect's integration of the crop marketplace with the harvest scheduling module.</w:t>
            </w:r>
          </w:p>
        </w:tc>
      </w:tr>
      <w:tr w14:paraId="9BD5EEDD">
        <w:tblPrEx/>
        <w:trPr/>
        <w:tc>
          <w:tcPr>
            <w:tcW w:w="1800" w:type="dxa"/>
            <w:tcBorders>
              <w:top w:val="single" w:sz="4" w:space="0" w:color="000000"/>
              <w:left w:val="single" w:sz="4" w:space="0" w:color="000000"/>
              <w:bottom w:val="single" w:sz="4" w:space="0" w:color="000000"/>
              <w:right w:val="single" w:sz="4" w:space="0" w:color="000000"/>
            </w:tcBorders>
          </w:tcPr>
          <w:p w14:paraId="FFC801C9">
            <w:pPr>
              <w:pStyle w:val="style0"/>
              <w:spacing w:lineRule="auto" w:line="300"/>
              <w:jc w:val="left"/>
              <w:rPr>
                <w:color w:val="36363d"/>
              </w:rPr>
            </w:pPr>
            <w:r>
              <w:rPr>
                <w:rFonts w:ascii="Arial" w:cs="Arial" w:eastAsia="Arial" w:hAnsi="Arial"/>
                <w:color w:val="36363d"/>
                <w:sz w:val="20"/>
                <w:szCs w:val="20"/>
              </w:rPr>
              <w:t>Tripathi and Bhavani (2022)</w:t>
            </w:r>
          </w:p>
        </w:tc>
        <w:tc>
          <w:tcPr>
            <w:tcW w:w="3280" w:type="dxa"/>
            <w:tcBorders>
              <w:top w:val="single" w:sz="4" w:space="0" w:color="000000"/>
              <w:left w:val="single" w:sz="4" w:space="0" w:color="000000"/>
              <w:bottom w:val="single" w:sz="4" w:space="0" w:color="000000"/>
              <w:right w:val="single" w:sz="4" w:space="0" w:color="000000"/>
            </w:tcBorders>
          </w:tcPr>
          <w:p w14:paraId="6F59ABD4">
            <w:pPr>
              <w:pStyle w:val="style0"/>
              <w:spacing w:lineRule="auto" w:line="300"/>
              <w:jc w:val="left"/>
              <w:rPr>
                <w:color w:val="36363d"/>
              </w:rPr>
            </w:pPr>
            <w:r>
              <w:rPr>
                <w:rFonts w:ascii="Arial" w:cs="Arial" w:eastAsia="Arial" w:hAnsi="Arial"/>
                <w:color w:val="36363d"/>
                <w:sz w:val="20"/>
                <w:szCs w:val="20"/>
              </w:rPr>
              <w:t>Mapping library integration in agricultural e-commerce platforms significantly improves farm discovery, buyer navigation, and overall platform usability in rural contexts.</w:t>
            </w:r>
          </w:p>
        </w:tc>
        <w:tc>
          <w:tcPr>
            <w:tcW w:w="4280" w:type="dxa"/>
            <w:tcBorders>
              <w:top w:val="single" w:sz="4" w:space="0" w:color="000000"/>
              <w:left w:val="single" w:sz="4" w:space="0" w:color="000000"/>
              <w:bottom w:val="single" w:sz="4" w:space="0" w:color="000000"/>
              <w:right w:val="single" w:sz="4" w:space="0" w:color="000000"/>
            </w:tcBorders>
          </w:tcPr>
          <w:p w14:paraId="F24A03B5">
            <w:pPr>
              <w:pStyle w:val="style0"/>
              <w:spacing w:lineRule="auto" w:line="300"/>
              <w:jc w:val="left"/>
              <w:rPr>
                <w:color w:val="36363d"/>
              </w:rPr>
            </w:pPr>
            <w:r>
              <w:rPr>
                <w:rFonts w:ascii="Arial" w:cs="Arial" w:eastAsia="Arial" w:hAnsi="Arial"/>
                <w:color w:val="36363d"/>
                <w:sz w:val="20"/>
                <w:szCs w:val="20"/>
              </w:rPr>
              <w:t>Directly supports the Leaflet map module for spatial farm discovery and buyer navigation in Manolo Fortich, Bukidnon.</w:t>
            </w:r>
          </w:p>
        </w:tc>
      </w:tr>
      <w:tr w14:paraId="654454B1">
        <w:tblPrEx/>
        <w:trPr/>
        <w:tc>
          <w:tcPr>
            <w:tcW w:w="1800" w:type="dxa"/>
            <w:tcBorders>
              <w:top w:val="single" w:sz="4" w:space="0" w:color="000000"/>
              <w:left w:val="single" w:sz="4" w:space="0" w:color="000000"/>
              <w:bottom w:val="single" w:sz="4" w:space="0" w:color="000000"/>
              <w:right w:val="single" w:sz="4" w:space="0" w:color="000000"/>
            </w:tcBorders>
          </w:tcPr>
          <w:p w14:paraId="A9C9C29E">
            <w:pPr>
              <w:pStyle w:val="style0"/>
              <w:spacing w:lineRule="auto" w:line="300"/>
              <w:jc w:val="left"/>
              <w:rPr>
                <w:color w:val="36363d"/>
              </w:rPr>
            </w:pPr>
            <w:r>
              <w:rPr>
                <w:rFonts w:ascii="Arial" w:cs="Arial" w:eastAsia="Arial" w:hAnsi="Arial"/>
                <w:color w:val="36363d"/>
                <w:sz w:val="20"/>
                <w:szCs w:val="20"/>
              </w:rPr>
              <w:t>Ogunyemi et al. (2020)</w:t>
            </w:r>
          </w:p>
        </w:tc>
        <w:tc>
          <w:tcPr>
            <w:tcW w:w="3280" w:type="dxa"/>
            <w:tcBorders>
              <w:top w:val="single" w:sz="4" w:space="0" w:color="000000"/>
              <w:left w:val="single" w:sz="4" w:space="0" w:color="000000"/>
              <w:bottom w:val="single" w:sz="4" w:space="0" w:color="000000"/>
              <w:right w:val="single" w:sz="4" w:space="0" w:color="000000"/>
            </w:tcBorders>
          </w:tcPr>
          <w:p w14:paraId="EE45D726">
            <w:pPr>
              <w:pStyle w:val="style0"/>
              <w:spacing w:lineRule="auto" w:line="300"/>
              <w:jc w:val="left"/>
              <w:rPr>
                <w:color w:val="36363d"/>
              </w:rPr>
            </w:pPr>
            <w:r>
              <w:rPr>
                <w:rFonts w:ascii="Arial" w:cs="Arial" w:eastAsia="Arial" w:hAnsi="Arial"/>
                <w:color w:val="36363d"/>
                <w:sz w:val="20"/>
                <w:szCs w:val="20"/>
              </w:rPr>
              <w:t>GIS-based spatial analysis tools enable smallholder farmers to identify optimal market linkages and reduce agricultural transportation costs by an average of 23 percent.</w:t>
            </w:r>
          </w:p>
        </w:tc>
        <w:tc>
          <w:tcPr>
            <w:tcW w:w="4280" w:type="dxa"/>
            <w:tcBorders>
              <w:top w:val="single" w:sz="4" w:space="0" w:color="000000"/>
              <w:left w:val="single" w:sz="4" w:space="0" w:color="000000"/>
              <w:bottom w:val="single" w:sz="4" w:space="0" w:color="000000"/>
              <w:right w:val="single" w:sz="4" w:space="0" w:color="000000"/>
            </w:tcBorders>
          </w:tcPr>
          <w:p w14:paraId="19FC4242">
            <w:pPr>
              <w:pStyle w:val="style0"/>
              <w:spacing w:lineRule="auto" w:line="300"/>
              <w:jc w:val="left"/>
              <w:rPr>
                <w:color w:val="36363d"/>
              </w:rPr>
            </w:pPr>
            <w:r>
              <w:rPr>
                <w:rFonts w:ascii="Arial" w:cs="Arial" w:eastAsia="Arial" w:hAnsi="Arial"/>
                <w:color w:val="36363d"/>
                <w:sz w:val="20"/>
                <w:szCs w:val="20"/>
              </w:rPr>
              <w:t>Validates the proximity-based farm search and multi-farm route visualization features of the Leaflet GIS module.</w:t>
            </w:r>
          </w:p>
        </w:tc>
      </w:tr>
      <w:tr w14:paraId="550D6940">
        <w:tblPrEx/>
        <w:trPr/>
        <w:tc>
          <w:tcPr>
            <w:tcW w:w="1800" w:type="dxa"/>
            <w:tcBorders>
              <w:top w:val="single" w:sz="4" w:space="0" w:color="000000"/>
              <w:left w:val="single" w:sz="4" w:space="0" w:color="000000"/>
              <w:bottom w:val="single" w:sz="4" w:space="0" w:color="000000"/>
              <w:right w:val="single" w:sz="4" w:space="0" w:color="000000"/>
            </w:tcBorders>
          </w:tcPr>
          <w:p w14:paraId="EC826C3B">
            <w:pPr>
              <w:pStyle w:val="style0"/>
              <w:spacing w:lineRule="auto" w:line="300"/>
              <w:jc w:val="left"/>
              <w:rPr>
                <w:color w:val="36363d"/>
              </w:rPr>
            </w:pPr>
            <w:r>
              <w:rPr>
                <w:rFonts w:ascii="Arial" w:cs="Arial" w:eastAsia="Arial" w:hAnsi="Arial"/>
                <w:color w:val="36363d"/>
                <w:sz w:val="20"/>
                <w:szCs w:val="20"/>
              </w:rPr>
              <w:t>Chen et al. (2021)</w:t>
            </w:r>
          </w:p>
        </w:tc>
        <w:tc>
          <w:tcPr>
            <w:tcW w:w="3280" w:type="dxa"/>
            <w:tcBorders>
              <w:top w:val="single" w:sz="4" w:space="0" w:color="000000"/>
              <w:left w:val="single" w:sz="4" w:space="0" w:color="000000"/>
              <w:bottom w:val="single" w:sz="4" w:space="0" w:color="000000"/>
              <w:right w:val="single" w:sz="4" w:space="0" w:color="000000"/>
            </w:tcBorders>
          </w:tcPr>
          <w:p w14:paraId="5EA2E32F">
            <w:pPr>
              <w:pStyle w:val="style0"/>
              <w:spacing w:lineRule="auto" w:line="300"/>
              <w:jc w:val="left"/>
              <w:rPr>
                <w:color w:val="36363d"/>
              </w:rPr>
            </w:pPr>
            <w:r>
              <w:rPr>
                <w:rFonts w:ascii="Arial" w:cs="Arial" w:eastAsia="Arial" w:hAnsi="Arial"/>
                <w:color w:val="36363d"/>
                <w:sz w:val="20"/>
                <w:szCs w:val="20"/>
              </w:rPr>
              <w:t>GIS mapping of agricultural markets reduces logistical inefficiencies and improves farmer access to market information in rural supply chain settings.</w:t>
            </w:r>
          </w:p>
        </w:tc>
        <w:tc>
          <w:tcPr>
            <w:tcW w:w="4280" w:type="dxa"/>
            <w:tcBorders>
              <w:top w:val="single" w:sz="4" w:space="0" w:color="000000"/>
              <w:left w:val="single" w:sz="4" w:space="0" w:color="000000"/>
              <w:bottom w:val="single" w:sz="4" w:space="0" w:color="000000"/>
              <w:right w:val="single" w:sz="4" w:space="0" w:color="000000"/>
            </w:tcBorders>
          </w:tcPr>
          <w:p w14:paraId="90600462">
            <w:pPr>
              <w:pStyle w:val="style0"/>
              <w:spacing w:lineRule="auto" w:line="300"/>
              <w:jc w:val="left"/>
              <w:rPr>
                <w:color w:val="36363d"/>
              </w:rPr>
            </w:pPr>
            <w:r>
              <w:rPr>
                <w:rFonts w:ascii="Arial" w:cs="Arial" w:eastAsia="Arial" w:hAnsi="Arial"/>
                <w:color w:val="36363d"/>
                <w:sz w:val="20"/>
                <w:szCs w:val="20"/>
              </w:rPr>
              <w:t>Supports the crop-type layer filtering and map-based farm discovery design of the Leaflet module.</w:t>
            </w:r>
          </w:p>
        </w:tc>
      </w:tr>
      <w:tr w14:paraId="2ED60ADA">
        <w:tblPrEx/>
        <w:trPr/>
        <w:tc>
          <w:tcPr>
            <w:tcW w:w="1800" w:type="dxa"/>
            <w:tcBorders>
              <w:top w:val="single" w:sz="4" w:space="0" w:color="000000"/>
              <w:left w:val="single" w:sz="4" w:space="0" w:color="000000"/>
              <w:bottom w:val="single" w:sz="4" w:space="0" w:color="000000"/>
              <w:right w:val="single" w:sz="4" w:space="0" w:color="000000"/>
            </w:tcBorders>
          </w:tcPr>
          <w:p w14:paraId="0A4BF13D">
            <w:pPr>
              <w:pStyle w:val="style0"/>
              <w:spacing w:lineRule="auto" w:line="300"/>
              <w:jc w:val="left"/>
              <w:rPr>
                <w:color w:val="36363d"/>
              </w:rPr>
            </w:pPr>
            <w:r>
              <w:rPr>
                <w:rFonts w:ascii="Arial" w:cs="Arial" w:eastAsia="Arial" w:hAnsi="Arial"/>
                <w:color w:val="36363d"/>
                <w:sz w:val="20"/>
                <w:szCs w:val="20"/>
              </w:rPr>
              <w:t>Demmler et al. (2022)</w:t>
            </w:r>
          </w:p>
        </w:tc>
        <w:tc>
          <w:tcPr>
            <w:tcW w:w="3280" w:type="dxa"/>
            <w:tcBorders>
              <w:top w:val="single" w:sz="4" w:space="0" w:color="000000"/>
              <w:left w:val="single" w:sz="4" w:space="0" w:color="000000"/>
              <w:bottom w:val="single" w:sz="4" w:space="0" w:color="000000"/>
              <w:right w:val="single" w:sz="4" w:space="0" w:color="000000"/>
            </w:tcBorders>
          </w:tcPr>
          <w:p w14:paraId="61A067EC">
            <w:pPr>
              <w:pStyle w:val="style0"/>
              <w:spacing w:lineRule="auto" w:line="300"/>
              <w:jc w:val="left"/>
              <w:rPr>
                <w:color w:val="36363d"/>
              </w:rPr>
            </w:pPr>
            <w:r>
              <w:rPr>
                <w:rFonts w:ascii="Arial" w:cs="Arial" w:eastAsia="Arial" w:hAnsi="Arial"/>
                <w:color w:val="36363d"/>
                <w:sz w:val="20"/>
                <w:szCs w:val="20"/>
              </w:rPr>
              <w:t>Advance purchase agreements help smallholder farmers plan production more effectively and reduce income uncertainty by securing committed buyers before harvest.</w:t>
            </w:r>
          </w:p>
        </w:tc>
        <w:tc>
          <w:tcPr>
            <w:tcW w:w="4280" w:type="dxa"/>
            <w:tcBorders>
              <w:top w:val="single" w:sz="4" w:space="0" w:color="000000"/>
              <w:left w:val="single" w:sz="4" w:space="0" w:color="000000"/>
              <w:bottom w:val="single" w:sz="4" w:space="0" w:color="000000"/>
              <w:right w:val="single" w:sz="4" w:space="0" w:color="000000"/>
            </w:tcBorders>
          </w:tcPr>
          <w:p w14:paraId="1211728F">
            <w:pPr>
              <w:pStyle w:val="style0"/>
              <w:spacing w:lineRule="auto" w:line="300"/>
              <w:jc w:val="left"/>
              <w:rPr>
                <w:color w:val="36363d"/>
              </w:rPr>
            </w:pPr>
            <w:r>
              <w:rPr>
                <w:rFonts w:ascii="Arial" w:cs="Arial" w:eastAsia="Arial" w:hAnsi="Arial"/>
                <w:color w:val="36363d"/>
                <w:sz w:val="20"/>
                <w:szCs w:val="20"/>
              </w:rPr>
              <w:t>Provides the theoretical foundation for AgriConnect's advance purchase reservation module.</w:t>
            </w:r>
          </w:p>
        </w:tc>
      </w:tr>
      <w:tr w14:paraId="798A8FE1">
        <w:tblPrEx/>
        <w:trPr/>
        <w:tc>
          <w:tcPr>
            <w:tcW w:w="1800" w:type="dxa"/>
            <w:tcBorders>
              <w:top w:val="single" w:sz="4" w:space="0" w:color="000000"/>
              <w:left w:val="single" w:sz="4" w:space="0" w:color="000000"/>
              <w:bottom w:val="single" w:sz="4" w:space="0" w:color="000000"/>
              <w:right w:val="single" w:sz="4" w:space="0" w:color="000000"/>
            </w:tcBorders>
          </w:tcPr>
          <w:p w14:paraId="D7E755B2">
            <w:pPr>
              <w:pStyle w:val="style0"/>
              <w:spacing w:lineRule="auto" w:line="300"/>
              <w:jc w:val="left"/>
              <w:rPr>
                <w:color w:val="36363d"/>
              </w:rPr>
            </w:pPr>
            <w:r>
              <w:rPr>
                <w:rFonts w:ascii="Arial" w:cs="Arial" w:eastAsia="Arial" w:hAnsi="Arial"/>
                <w:color w:val="36363d"/>
                <w:sz w:val="20"/>
                <w:szCs w:val="20"/>
              </w:rPr>
              <w:t>Kathage et al. (2022)</w:t>
            </w:r>
          </w:p>
        </w:tc>
        <w:tc>
          <w:tcPr>
            <w:tcW w:w="3280" w:type="dxa"/>
            <w:tcBorders>
              <w:top w:val="single" w:sz="4" w:space="0" w:color="000000"/>
              <w:left w:val="single" w:sz="4" w:space="0" w:color="000000"/>
              <w:bottom w:val="single" w:sz="4" w:space="0" w:color="000000"/>
              <w:right w:val="single" w:sz="4" w:space="0" w:color="000000"/>
            </w:tcBorders>
          </w:tcPr>
          <w:p w14:paraId="968C054C">
            <w:pPr>
              <w:pStyle w:val="style0"/>
              <w:spacing w:lineRule="auto" w:line="300"/>
              <w:jc w:val="left"/>
              <w:rPr>
                <w:color w:val="36363d"/>
              </w:rPr>
            </w:pPr>
            <w:r>
              <w:rPr>
                <w:rFonts w:ascii="Arial" w:cs="Arial" w:eastAsia="Arial" w:hAnsi="Arial"/>
                <w:color w:val="36363d"/>
                <w:sz w:val="20"/>
                <w:szCs w:val="20"/>
              </w:rPr>
              <w:t>Digital harvest scheduling and monitoring tools improve supply chain predictability and enable buyers to plan procurement more efficiently.</w:t>
            </w:r>
          </w:p>
        </w:tc>
        <w:tc>
          <w:tcPr>
            <w:tcW w:w="4280" w:type="dxa"/>
            <w:tcBorders>
              <w:top w:val="single" w:sz="4" w:space="0" w:color="000000"/>
              <w:left w:val="single" w:sz="4" w:space="0" w:color="000000"/>
              <w:bottom w:val="single" w:sz="4" w:space="0" w:color="000000"/>
              <w:right w:val="single" w:sz="4" w:space="0" w:color="000000"/>
            </w:tcBorders>
          </w:tcPr>
          <w:p w14:paraId="8ABCF765">
            <w:pPr>
              <w:pStyle w:val="style0"/>
              <w:spacing w:lineRule="auto" w:line="300"/>
              <w:jc w:val="left"/>
              <w:rPr>
                <w:color w:val="36363d"/>
              </w:rPr>
            </w:pPr>
            <w:r>
              <w:rPr>
                <w:rFonts w:ascii="Arial" w:cs="Arial" w:eastAsia="Arial" w:hAnsi="Arial"/>
                <w:color w:val="36363d"/>
                <w:sz w:val="20"/>
                <w:szCs w:val="20"/>
              </w:rPr>
              <w:t>Supports the harvest scheduling feature integrated with the reservation lifecycle management system.</w:t>
            </w:r>
          </w:p>
        </w:tc>
      </w:tr>
      <w:tr w14:paraId="57607F6C">
        <w:tblPrEx/>
        <w:trPr/>
        <w:tc>
          <w:tcPr>
            <w:tcW w:w="1800" w:type="dxa"/>
            <w:tcBorders>
              <w:top w:val="single" w:sz="4" w:space="0" w:color="000000"/>
              <w:left w:val="single" w:sz="4" w:space="0" w:color="000000"/>
              <w:bottom w:val="single" w:sz="4" w:space="0" w:color="000000"/>
              <w:right w:val="single" w:sz="4" w:space="0" w:color="000000"/>
            </w:tcBorders>
          </w:tcPr>
          <w:p w14:paraId="046C4298">
            <w:pPr>
              <w:pStyle w:val="style0"/>
              <w:spacing w:lineRule="auto" w:line="300"/>
              <w:jc w:val="left"/>
              <w:rPr>
                <w:color w:val="36363d"/>
              </w:rPr>
            </w:pPr>
            <w:r>
              <w:rPr>
                <w:rFonts w:ascii="Arial" w:cs="Arial" w:eastAsia="Arial" w:hAnsi="Arial"/>
                <w:color w:val="36363d"/>
                <w:sz w:val="20"/>
                <w:szCs w:val="20"/>
              </w:rPr>
              <w:t>Chowdhury et al. (2023)</w:t>
            </w:r>
          </w:p>
        </w:tc>
        <w:tc>
          <w:tcPr>
            <w:tcW w:w="3280" w:type="dxa"/>
            <w:tcBorders>
              <w:top w:val="single" w:sz="4" w:space="0" w:color="000000"/>
              <w:left w:val="single" w:sz="4" w:space="0" w:color="000000"/>
              <w:bottom w:val="single" w:sz="4" w:space="0" w:color="000000"/>
              <w:right w:val="single" w:sz="4" w:space="0" w:color="000000"/>
            </w:tcBorders>
          </w:tcPr>
          <w:p w14:paraId="3DEF8484">
            <w:pPr>
              <w:pStyle w:val="style0"/>
              <w:spacing w:lineRule="auto" w:line="300"/>
              <w:jc w:val="left"/>
              <w:rPr>
                <w:color w:val="36363d"/>
              </w:rPr>
            </w:pPr>
            <w:r>
              <w:rPr>
                <w:rFonts w:ascii="Arial" w:cs="Arial" w:eastAsia="Arial" w:hAnsi="Arial"/>
                <w:color w:val="36363d"/>
                <w:sz w:val="20"/>
                <w:szCs w:val="20"/>
              </w:rPr>
              <w:t>Escrow payment systems in agricultural e-commerce significantly increase buyer and seller trust, reduce transaction disputes, and promote repeat platform engagement.</w:t>
            </w:r>
          </w:p>
        </w:tc>
        <w:tc>
          <w:tcPr>
            <w:tcW w:w="4280" w:type="dxa"/>
            <w:tcBorders>
              <w:top w:val="single" w:sz="4" w:space="0" w:color="000000"/>
              <w:left w:val="single" w:sz="4" w:space="0" w:color="000000"/>
              <w:bottom w:val="single" w:sz="4" w:space="0" w:color="000000"/>
              <w:right w:val="single" w:sz="4" w:space="0" w:color="000000"/>
            </w:tcBorders>
          </w:tcPr>
          <w:p w14:paraId="6FF35DF4">
            <w:pPr>
              <w:pStyle w:val="style0"/>
              <w:spacing w:lineRule="auto" w:line="300"/>
              <w:jc w:val="left"/>
              <w:rPr>
                <w:color w:val="36363d"/>
              </w:rPr>
            </w:pPr>
            <w:r>
              <w:rPr>
                <w:rFonts w:ascii="Arial" w:cs="Arial" w:eastAsia="Arial" w:hAnsi="Arial"/>
                <w:color w:val="36363d"/>
                <w:sz w:val="20"/>
                <w:szCs w:val="20"/>
              </w:rPr>
              <w:t>Directly supports the design of AgriConnect's escrow-based payment module.</w:t>
            </w:r>
          </w:p>
        </w:tc>
      </w:tr>
      <w:tr w14:paraId="D3A40A31">
        <w:tblPrEx/>
        <w:trPr/>
        <w:tc>
          <w:tcPr>
            <w:tcW w:w="1800" w:type="dxa"/>
            <w:tcBorders>
              <w:top w:val="single" w:sz="4" w:space="0" w:color="000000"/>
              <w:left w:val="single" w:sz="4" w:space="0" w:color="000000"/>
              <w:bottom w:val="single" w:sz="4" w:space="0" w:color="000000"/>
              <w:right w:val="single" w:sz="4" w:space="0" w:color="000000"/>
            </w:tcBorders>
          </w:tcPr>
          <w:p w14:paraId="4AC1311F">
            <w:pPr>
              <w:pStyle w:val="style0"/>
              <w:spacing w:lineRule="auto" w:line="300"/>
              <w:jc w:val="left"/>
              <w:rPr>
                <w:color w:val="36363d"/>
              </w:rPr>
            </w:pPr>
            <w:r>
              <w:rPr>
                <w:rFonts w:ascii="Arial" w:cs="Arial" w:eastAsia="Arial" w:hAnsi="Arial"/>
                <w:color w:val="36363d"/>
                <w:sz w:val="20"/>
                <w:szCs w:val="20"/>
              </w:rPr>
              <w:t>Guo et al. (2023)</w:t>
            </w:r>
          </w:p>
        </w:tc>
        <w:tc>
          <w:tcPr>
            <w:tcW w:w="3280" w:type="dxa"/>
            <w:tcBorders>
              <w:top w:val="single" w:sz="4" w:space="0" w:color="000000"/>
              <w:left w:val="single" w:sz="4" w:space="0" w:color="000000"/>
              <w:bottom w:val="single" w:sz="4" w:space="0" w:color="000000"/>
              <w:right w:val="single" w:sz="4" w:space="0" w:color="000000"/>
            </w:tcBorders>
          </w:tcPr>
          <w:p w14:paraId="F1D3DE9E">
            <w:pPr>
              <w:pStyle w:val="style0"/>
              <w:spacing w:lineRule="auto" w:line="300"/>
              <w:jc w:val="left"/>
              <w:rPr>
                <w:color w:val="36363d"/>
              </w:rPr>
            </w:pPr>
            <w:r>
              <w:rPr>
                <w:rFonts w:ascii="Arial" w:cs="Arial" w:eastAsia="Arial" w:hAnsi="Arial"/>
                <w:color w:val="36363d"/>
                <w:sz w:val="20"/>
                <w:szCs w:val="20"/>
              </w:rPr>
              <w:t>Structured reputation and rating systems in agricultural online marketplaces positively influence buyer confidence, seller accountability, and overall transaction quality.</w:t>
            </w:r>
          </w:p>
        </w:tc>
        <w:tc>
          <w:tcPr>
            <w:tcW w:w="4280" w:type="dxa"/>
            <w:tcBorders>
              <w:top w:val="single" w:sz="4" w:space="0" w:color="000000"/>
              <w:left w:val="single" w:sz="4" w:space="0" w:color="000000"/>
              <w:bottom w:val="single" w:sz="4" w:space="0" w:color="000000"/>
              <w:right w:val="single" w:sz="4" w:space="0" w:color="000000"/>
            </w:tcBorders>
          </w:tcPr>
          <w:p w14:paraId="AF435F0E">
            <w:pPr>
              <w:pStyle w:val="style0"/>
              <w:spacing w:lineRule="auto" w:line="300"/>
              <w:jc w:val="left"/>
              <w:rPr>
                <w:color w:val="36363d"/>
              </w:rPr>
            </w:pPr>
            <w:r>
              <w:rPr>
                <w:rFonts w:ascii="Arial" w:cs="Arial" w:eastAsia="Arial" w:hAnsi="Arial"/>
                <w:color w:val="36363d"/>
                <w:sz w:val="20"/>
                <w:szCs w:val="20"/>
              </w:rPr>
              <w:t>Directly supports the dual-profile reputation and rating system architecture of AgriConnect.</w:t>
            </w:r>
          </w:p>
        </w:tc>
      </w:tr>
      <w:tr w14:paraId="35C14360">
        <w:tblPrEx/>
        <w:trPr/>
        <w:tc>
          <w:tcPr>
            <w:tcW w:w="1800" w:type="dxa"/>
            <w:tcBorders>
              <w:top w:val="single" w:sz="4" w:space="0" w:color="000000"/>
              <w:left w:val="single" w:sz="4" w:space="0" w:color="000000"/>
              <w:bottom w:val="single" w:sz="4" w:space="0" w:color="000000"/>
              <w:right w:val="single" w:sz="4" w:space="0" w:color="000000"/>
            </w:tcBorders>
          </w:tcPr>
          <w:p w14:paraId="5C4A4C8F">
            <w:pPr>
              <w:pStyle w:val="style0"/>
              <w:spacing w:lineRule="auto" w:line="300"/>
              <w:jc w:val="left"/>
              <w:rPr>
                <w:color w:val="36363d"/>
              </w:rPr>
            </w:pPr>
            <w:r>
              <w:rPr>
                <w:rFonts w:ascii="Arial" w:cs="Arial" w:eastAsia="Arial" w:hAnsi="Arial"/>
                <w:color w:val="36363d"/>
                <w:sz w:val="20"/>
                <w:szCs w:val="20"/>
              </w:rPr>
              <w:t>Farnworth et al. (2021)</w:t>
            </w:r>
          </w:p>
        </w:tc>
        <w:tc>
          <w:tcPr>
            <w:tcW w:w="3280" w:type="dxa"/>
            <w:tcBorders>
              <w:top w:val="single" w:sz="4" w:space="0" w:color="000000"/>
              <w:left w:val="single" w:sz="4" w:space="0" w:color="000000"/>
              <w:bottom w:val="single" w:sz="4" w:space="0" w:color="000000"/>
              <w:right w:val="single" w:sz="4" w:space="0" w:color="000000"/>
            </w:tcBorders>
          </w:tcPr>
          <w:p w14:paraId="66B22F3B">
            <w:pPr>
              <w:pStyle w:val="style0"/>
              <w:spacing w:lineRule="auto" w:line="300"/>
              <w:jc w:val="left"/>
              <w:rPr>
                <w:color w:val="36363d"/>
              </w:rPr>
            </w:pPr>
            <w:r>
              <w:rPr>
                <w:rFonts w:ascii="Arial" w:cs="Arial" w:eastAsia="Arial" w:hAnsi="Arial"/>
                <w:color w:val="36363d"/>
                <w:sz w:val="20"/>
                <w:szCs w:val="20"/>
              </w:rPr>
              <w:t>Digital market linkage platforms improve inclusive market participation when designed with accessible interfaces and embedded trust mechanisms.</w:t>
            </w:r>
          </w:p>
        </w:tc>
        <w:tc>
          <w:tcPr>
            <w:tcW w:w="4280" w:type="dxa"/>
            <w:tcBorders>
              <w:top w:val="single" w:sz="4" w:space="0" w:color="000000"/>
              <w:left w:val="single" w:sz="4" w:space="0" w:color="000000"/>
              <w:bottom w:val="single" w:sz="4" w:space="0" w:color="000000"/>
              <w:right w:val="single" w:sz="4" w:space="0" w:color="000000"/>
            </w:tcBorders>
          </w:tcPr>
          <w:p w14:paraId="D4F1E628">
            <w:pPr>
              <w:pStyle w:val="style0"/>
              <w:spacing w:lineRule="auto" w:line="300"/>
              <w:jc w:val="left"/>
              <w:rPr>
                <w:color w:val="36363d"/>
              </w:rPr>
            </w:pPr>
            <w:r>
              <w:rPr>
                <w:rFonts w:ascii="Arial" w:cs="Arial" w:eastAsia="Arial" w:hAnsi="Arial"/>
                <w:color w:val="36363d"/>
                <w:sz w:val="20"/>
                <w:szCs w:val="20"/>
              </w:rPr>
              <w:t>Informs the inclusive and accessible design approach for smallholder farmers in Bukidnon.</w:t>
            </w:r>
          </w:p>
        </w:tc>
      </w:tr>
      <w:tr w14:paraId="DF3F3B38">
        <w:tblPrEx/>
        <w:trPr/>
        <w:tc>
          <w:tcPr>
            <w:tcW w:w="1800" w:type="dxa"/>
            <w:tcBorders>
              <w:top w:val="single" w:sz="4" w:space="0" w:color="000000"/>
              <w:left w:val="single" w:sz="4" w:space="0" w:color="000000"/>
              <w:bottom w:val="single" w:sz="4" w:space="0" w:color="000000"/>
              <w:right w:val="single" w:sz="4" w:space="0" w:color="000000"/>
            </w:tcBorders>
          </w:tcPr>
          <w:p w14:paraId="4650B505">
            <w:pPr>
              <w:pStyle w:val="style0"/>
              <w:spacing w:lineRule="auto" w:line="300"/>
              <w:jc w:val="left"/>
              <w:rPr>
                <w:color w:val="36363d"/>
              </w:rPr>
            </w:pPr>
            <w:r>
              <w:rPr>
                <w:rFonts w:ascii="Arial" w:cs="Arial" w:eastAsia="Arial" w:hAnsi="Arial"/>
                <w:color w:val="36363d"/>
                <w:sz w:val="20"/>
                <w:szCs w:val="20"/>
              </w:rPr>
              <w:t>Svensson and Yanagizawa (2009)</w:t>
            </w:r>
          </w:p>
        </w:tc>
        <w:tc>
          <w:tcPr>
            <w:tcW w:w="3280" w:type="dxa"/>
            <w:tcBorders>
              <w:top w:val="single" w:sz="4" w:space="0" w:color="000000"/>
              <w:left w:val="single" w:sz="4" w:space="0" w:color="000000"/>
              <w:bottom w:val="single" w:sz="4" w:space="0" w:color="000000"/>
              <w:right w:val="single" w:sz="4" w:space="0" w:color="000000"/>
            </w:tcBorders>
          </w:tcPr>
          <w:p w14:paraId="EE5F678C">
            <w:pPr>
              <w:pStyle w:val="style0"/>
              <w:spacing w:lineRule="auto" w:line="300"/>
              <w:jc w:val="left"/>
              <w:rPr>
                <w:color w:val="36363d"/>
              </w:rPr>
            </w:pPr>
            <w:r>
              <w:rPr>
                <w:rFonts w:ascii="Arial" w:cs="Arial" w:eastAsia="Arial" w:hAnsi="Arial"/>
                <w:color w:val="36363d"/>
                <w:sz w:val="20"/>
                <w:szCs w:val="20"/>
              </w:rPr>
              <w:t>Digital market information services measurably increase farm-gate prices by reducing information asymmetry between farmers and buyers.</w:t>
            </w:r>
          </w:p>
        </w:tc>
        <w:tc>
          <w:tcPr>
            <w:tcW w:w="4280" w:type="dxa"/>
            <w:tcBorders>
              <w:top w:val="single" w:sz="4" w:space="0" w:color="000000"/>
              <w:left w:val="single" w:sz="4" w:space="0" w:color="000000"/>
              <w:bottom w:val="single" w:sz="4" w:space="0" w:color="000000"/>
              <w:right w:val="single" w:sz="4" w:space="0" w:color="000000"/>
            </w:tcBorders>
          </w:tcPr>
          <w:p w14:paraId="BC8AE8F9">
            <w:pPr>
              <w:pStyle w:val="style0"/>
              <w:spacing w:lineRule="auto" w:line="300"/>
              <w:jc w:val="left"/>
              <w:rPr>
                <w:color w:val="36363d"/>
              </w:rPr>
            </w:pPr>
            <w:r>
              <w:rPr>
                <w:rFonts w:ascii="Arial" w:cs="Arial" w:eastAsia="Arial" w:hAnsi="Arial"/>
                <w:color w:val="36363d"/>
                <w:sz w:val="20"/>
                <w:szCs w:val="20"/>
              </w:rPr>
              <w:t>Reinforces the market transparency goals of AgriConnect's direct farmer-to-buyer linkage model.</w:t>
            </w:r>
          </w:p>
        </w:tc>
      </w:tr>
    </w:tbl>
    <w:p w14:paraId="B62D9750">
      <w:pPr>
        <w:pStyle w:val="style0"/>
        <w:spacing w:before="80" w:after="200" w:lineRule="auto" w:line="300"/>
        <w:jc w:val="center"/>
        <w:rPr>
          <w:color w:val="36363d"/>
        </w:rPr>
      </w:pPr>
      <w:r>
        <w:rPr>
          <w:rFonts w:ascii="Arial" w:cs="Arial" w:eastAsia="Arial" w:hAnsi="Arial"/>
          <w:i/>
          <w:iCs/>
          <w:color w:val="36363d"/>
          <w:sz w:val="20"/>
          <w:szCs w:val="20"/>
        </w:rPr>
        <w:t>Table 2. Matrix of Related Literature.</w:t>
      </w:r>
    </w:p>
    <w:p w14:paraId="B7A27076">
      <w:pPr>
        <w:pStyle w:val="style4107"/>
        <w:spacing w:before="240" w:after="80" w:lineRule="auto" w:line="300"/>
        <w:rPr>
          <w:color w:val="36363d"/>
        </w:rPr>
      </w:pPr>
      <w:r>
        <w:rPr>
          <w:rFonts w:ascii="Arial" w:cs="Arial" w:eastAsia="Arial" w:hAnsi="Arial"/>
          <w:b/>
          <w:bCs/>
          <w:color w:val="36363d"/>
          <w:sz w:val="24"/>
          <w:szCs w:val="24"/>
        </w:rPr>
        <w:t>Research Gap</w:t>
      </w:r>
    </w:p>
    <w:p w14:paraId="1141C4E9">
      <w:pPr>
        <w:pStyle w:val="style0"/>
        <w:spacing w:before="80" w:after="80" w:lineRule="auto" w:line="300"/>
        <w:ind w:firstLine="720"/>
        <w:jc w:val="both"/>
        <w:rPr>
          <w:color w:val="36363d"/>
        </w:rPr>
      </w:pPr>
      <w:r>
        <w:rPr>
          <w:rFonts w:ascii="Arial" w:cs="Arial" w:eastAsia="Arial" w:hAnsi="Arial"/>
          <w:color w:val="36363d"/>
          <w:sz w:val="22"/>
          <w:szCs w:val="22"/>
        </w:rPr>
        <w:t>While the existing body of literature validates each of the individual components proposed in this study, including GIS-based spatial tools, digital market platforms, escrow payment systems, advance purchase mechanisms, harvest scheduling, and reputation rating systems, no existing study has integrated all of these components into a single, cohesive web-based platform specifically designed for smallholder farmers operating within a Philippine municipal context. AgriConnect addresses this documented gap by combining all six functional modules into a locally contextualized system tailored to the agricultural conditions of Manolo Fortich, Bukidnon, where geographic isolation, structural dependence on intermediaries, and the absence of digital trust infrastructure have persistently constrained agricultural market access and farmer income growth.</w:t>
      </w:r>
    </w:p>
    <w:p w14:paraId="C192D820">
      <w:pPr>
        <w:pStyle w:val="style4106"/>
        <w:spacing w:before="360" w:after="120" w:lineRule="auto" w:line="300"/>
        <w:rPr>
          <w:color w:val="36363d"/>
        </w:rPr>
      </w:pPr>
      <w:r>
        <w:rPr>
          <w:rFonts w:ascii="Arial" w:cs="Arial" w:eastAsia="Arial" w:hAnsi="Arial"/>
          <w:b/>
          <w:bCs/>
          <w:color w:val="36363d"/>
          <w:sz w:val="28"/>
          <w:szCs w:val="28"/>
        </w:rPr>
        <w:t>Research Methodology</w:t>
      </w:r>
    </w:p>
    <w:p w14:paraId="39BA573C">
      <w:pPr>
        <w:pStyle w:val="style4107"/>
        <w:spacing w:before="240" w:after="80" w:lineRule="auto" w:line="300"/>
        <w:rPr>
          <w:color w:val="36363d"/>
        </w:rPr>
      </w:pPr>
      <w:r>
        <w:rPr>
          <w:rFonts w:ascii="Arial" w:cs="Arial" w:eastAsia="Arial" w:hAnsi="Arial"/>
          <w:b/>
          <w:bCs/>
          <w:color w:val="36363d"/>
          <w:sz w:val="24"/>
          <w:szCs w:val="24"/>
        </w:rPr>
        <w:t>Research Design</w:t>
      </w:r>
    </w:p>
    <w:p w14:paraId="A820717D">
      <w:pPr>
        <w:pStyle w:val="style0"/>
        <w:spacing w:before="80" w:after="80" w:lineRule="auto" w:line="300"/>
        <w:ind w:firstLine="720"/>
        <w:jc w:val="both"/>
        <w:rPr>
          <w:color w:val="36363d"/>
        </w:rPr>
      </w:pPr>
      <w:r>
        <w:rPr>
          <w:rFonts w:ascii="Arial" w:cs="Arial" w:eastAsia="Arial" w:hAnsi="Arial"/>
          <w:color w:val="36363d"/>
          <w:sz w:val="22"/>
          <w:szCs w:val="22"/>
        </w:rPr>
        <w:t>This study will employ a Developmental Research Design. This design is appropriate because the primary objective is to design, develop, implement, and evaluate a software system intended to address identified agricultural market linkage problems within a specific local context. The research is centered on producing a functional technological artifact, the AgriConnect web platform, while systematically assessing its technical functionality, user-facing usability, and overall effectiveness in addressing the stated problems of smallholder farmers and buyers in Manolo Fortich, Bukidnon.</w:t>
      </w:r>
    </w:p>
    <w:p w14:paraId="F27B2CC3">
      <w:pPr>
        <w:pStyle w:val="style4107"/>
        <w:spacing w:before="240" w:after="80" w:lineRule="auto" w:line="300"/>
        <w:rPr>
          <w:color w:val="36363d"/>
        </w:rPr>
      </w:pPr>
      <w:r>
        <w:rPr>
          <w:rFonts w:ascii="Arial" w:cs="Arial" w:eastAsia="Arial" w:hAnsi="Arial"/>
          <w:b/>
          <w:bCs/>
          <w:color w:val="36363d"/>
          <w:sz w:val="24"/>
          <w:szCs w:val="24"/>
        </w:rPr>
        <w:t>System Development Approach</w:t>
      </w:r>
    </w:p>
    <w:p w14:paraId="7B036A5D">
      <w:pPr>
        <w:pStyle w:val="style0"/>
        <w:spacing w:before="80" w:after="80" w:lineRule="auto" w:line="300"/>
        <w:ind w:firstLine="720"/>
        <w:jc w:val="both"/>
        <w:rPr>
          <w:rFonts w:ascii="Arial" w:cs="Arial" w:eastAsia="Arial" w:hAnsi="Arial"/>
          <w:color w:val="36363d"/>
          <w:sz w:val="22"/>
          <w:szCs w:val="22"/>
        </w:rPr>
      </w:pPr>
      <w:r>
        <w:rPr>
          <w:rFonts w:ascii="Arial" w:cs="Arial" w:eastAsia="Arial" w:hAnsi="Arial"/>
          <w:color w:val="36363d"/>
          <w:sz w:val="22"/>
          <w:szCs w:val="22"/>
        </w:rPr>
        <w:t>The development of AgriConnect will follow the Agile Software Development Methodology. Agile is appropriate for this study because it supports iterative and incremental development, continuous stakeholder participation, and regular testing and refinement throughout the system development lifecycle. The development process will proceed through the following structured phases:</w:t>
      </w:r>
    </w:p>
    <w:p w14:paraId="C6F6B509">
      <w:pPr>
        <w:pStyle w:val="style0"/>
        <w:spacing w:before="80" w:after="80" w:lineRule="auto" w:line="300"/>
        <w:ind w:firstLine="720"/>
        <w:jc w:val="both"/>
        <w:rPr>
          <w:color w:val="36363d"/>
        </w:rPr>
      </w:pPr>
    </w:p>
    <w:p w14:paraId="2DE4A505">
      <w:pPr>
        <w:pStyle w:val="style179"/>
        <w:numPr>
          <w:ilvl w:val="0"/>
          <w:numId w:val="1"/>
        </w:numPr>
        <w:spacing w:before="60" w:after="60" w:lineRule="auto" w:line="300"/>
        <w:rPr>
          <w:color w:val="36363d"/>
        </w:rPr>
      </w:pPr>
      <w:r>
        <w:rPr>
          <w:rFonts w:ascii="Arial" w:cs="Arial" w:eastAsia="Arial" w:hAnsi="Arial"/>
          <w:color w:val="36363d"/>
          <w:sz w:val="22"/>
          <w:szCs w:val="22"/>
        </w:rPr>
        <w:t>Requirements Gathering and Analysis. Structured interviews will be conducted with smallholder farmers, agricultural buyers, and Local Government Unit (LGU) agricultural officers in Manolo Fortich, Bukidnon. Requirements will be gathered for all system modules, including the Leaflet GIS map, the crop marketplace, the reservation system, the escrow payment module, the harvest scheduling tool, and the reputation and rating system. Specific GIS requirements will include farmer preferences for Leaflet map display and buyer expectations for proximity-based farm search functionality.</w:t>
      </w:r>
    </w:p>
    <w:p w14:paraId="D9B1A8DA">
      <w:pPr>
        <w:pStyle w:val="style179"/>
        <w:numPr>
          <w:ilvl w:val="0"/>
          <w:numId w:val="1"/>
        </w:numPr>
        <w:spacing w:before="60" w:after="60" w:lineRule="auto" w:line="300"/>
        <w:rPr>
          <w:color w:val="36363d"/>
        </w:rPr>
      </w:pPr>
      <w:r>
        <w:rPr>
          <w:rFonts w:ascii="Arial" w:cs="Arial" w:eastAsia="Arial" w:hAnsi="Arial"/>
          <w:color w:val="36363d"/>
          <w:sz w:val="22"/>
          <w:szCs w:val="22"/>
        </w:rPr>
        <w:t>System Planning and Design. System architecture will be defined, covering the web application framework, database schema, application programming interface (API) structure, and module integration plan. User interface and user experience wireframes will be developed for all primary system screens. The Leaflet map configuration, reputation scoring algorithm, and escrow payment workflow will be formally documented during this phase.</w:t>
      </w:r>
    </w:p>
    <w:p w14:paraId="47309367">
      <w:pPr>
        <w:pStyle w:val="style179"/>
        <w:numPr>
          <w:ilvl w:val="0"/>
          <w:numId w:val="1"/>
        </w:numPr>
        <w:spacing w:before="60" w:after="60" w:lineRule="auto" w:line="300"/>
        <w:rPr>
          <w:color w:val="36363d"/>
        </w:rPr>
      </w:pPr>
      <w:r>
        <w:rPr>
          <w:rFonts w:ascii="Arial" w:cs="Arial" w:eastAsia="Arial" w:hAnsi="Arial"/>
          <w:color w:val="36363d"/>
          <w:sz w:val="22"/>
          <w:szCs w:val="22"/>
        </w:rPr>
        <w:t>System Development. The platform will be developed iteratively, commencing with the Leaflet GIS map module, followed sequentially by the crop marketplace, the reservation management module, the escrow payment system, the harvest scheduling module, and the reputation and rating system. Each module will be fully integrated into the unified platform before development of the subsequent module proceeds.</w:t>
      </w:r>
    </w:p>
    <w:p w14:paraId="DDC818B6">
      <w:pPr>
        <w:pStyle w:val="style179"/>
        <w:numPr>
          <w:ilvl w:val="0"/>
          <w:numId w:val="1"/>
        </w:numPr>
        <w:spacing w:before="60" w:after="60" w:lineRule="auto" w:line="300"/>
        <w:rPr>
          <w:color w:val="36363d"/>
        </w:rPr>
      </w:pPr>
      <w:r>
        <w:rPr>
          <w:rFonts w:ascii="Arial" w:cs="Arial" w:eastAsia="Arial" w:hAnsi="Arial"/>
          <w:color w:val="36363d"/>
          <w:sz w:val="22"/>
          <w:szCs w:val="22"/>
        </w:rPr>
        <w:t>Testing and Refinement. Functional testing will be conducted for each system module. Leaflet map accuracy will be validated by verifying farm marker positions, proximity-based search results, and route visualization outputs against actual geographic reference data. Reservation lifecycle transitions, escrow payment release conditions, and reputation score computations will each be tested against predefined acceptance criteria. User acceptance testing will involve actual farmers and buyers from Manolo Fortich, Bukidnon.</w:t>
      </w:r>
    </w:p>
    <w:p w14:paraId="F4B1DA11">
      <w:pPr>
        <w:pStyle w:val="style179"/>
        <w:numPr>
          <w:ilvl w:val="0"/>
          <w:numId w:val="1"/>
        </w:numPr>
        <w:spacing w:before="60" w:after="60" w:lineRule="auto" w:line="300"/>
        <w:rPr>
          <w:color w:val="36363d"/>
        </w:rPr>
      </w:pPr>
      <w:r>
        <w:rPr>
          <w:rFonts w:ascii="Arial" w:cs="Arial" w:eastAsia="Arial" w:hAnsi="Arial"/>
          <w:color w:val="36363d"/>
          <w:sz w:val="22"/>
          <w:szCs w:val="22"/>
        </w:rPr>
        <w:t>Deployment and Evaluation. The completed system will be evaluated using structured assessment instruments administered to target stakeholders. Evaluation criteria will include system functionality, usability, GIS accuracy, reputation scoring correctness, and the overall effectiveness of the reservation and payment workflow. Findings will be formally documented and used to inform final system refinements prior to deployment.</w:t>
      </w:r>
    </w:p>
    <w:p w14:paraId="0C3BF904">
      <w:pPr>
        <w:pStyle w:val="style4107"/>
        <w:spacing w:before="240" w:after="80" w:lineRule="auto" w:line="300"/>
        <w:rPr>
          <w:color w:val="36363d"/>
        </w:rPr>
      </w:pPr>
      <w:r>
        <w:rPr>
          <w:rFonts w:ascii="Arial" w:cs="Arial" w:eastAsia="Arial" w:hAnsi="Arial"/>
          <w:b/>
          <w:bCs/>
          <w:color w:val="36363d"/>
          <w:sz w:val="24"/>
          <w:szCs w:val="24"/>
        </w:rPr>
        <w:t>Participants and Locale</w:t>
      </w:r>
    </w:p>
    <w:p w14:paraId="E8E53D23">
      <w:pPr>
        <w:pStyle w:val="style0"/>
        <w:spacing w:before="80" w:after="80" w:lineRule="auto" w:line="300"/>
        <w:ind w:firstLine="720"/>
        <w:jc w:val="both"/>
        <w:rPr>
          <w:color w:val="36363d"/>
        </w:rPr>
      </w:pPr>
      <w:r>
        <w:rPr>
          <w:rFonts w:ascii="Arial" w:cs="Arial" w:eastAsia="Arial" w:hAnsi="Arial"/>
          <w:color w:val="36363d"/>
          <w:sz w:val="22"/>
          <w:szCs w:val="22"/>
        </w:rPr>
        <w:t>The study will be conducted in Manolo Fortich, Bukidnon, Philippines. Research participants will include smallholder farmers who currently engage in agricultural trade within the municipality, buyers who procure agricultural products from local farm sources, and LGU agricultural officers who can provide validation of farm location data and agricultural registry information. Participants will be selected through purposive sampling based on their direct and active involvement in agricultural trade activities within the study locale.</w:t>
      </w:r>
    </w:p>
    <w:p w14:paraId="9485AC2D">
      <w:pPr>
        <w:pStyle w:val="style4107"/>
        <w:spacing w:before="240" w:after="80" w:lineRule="auto" w:line="300"/>
        <w:rPr>
          <w:color w:val="36363d"/>
        </w:rPr>
      </w:pPr>
      <w:r>
        <w:rPr>
          <w:rFonts w:ascii="Arial" w:cs="Arial" w:eastAsia="Arial" w:hAnsi="Arial"/>
          <w:b/>
          <w:bCs/>
          <w:color w:val="36363d"/>
          <w:sz w:val="24"/>
          <w:szCs w:val="24"/>
        </w:rPr>
        <w:t>Evaluation Instrument</w:t>
      </w:r>
    </w:p>
    <w:p w14:paraId="7EBAB302">
      <w:pPr>
        <w:pStyle w:val="style0"/>
        <w:spacing w:before="80" w:after="80" w:lineRule="auto" w:line="300"/>
        <w:ind w:firstLine="720"/>
        <w:jc w:val="both"/>
        <w:rPr>
          <w:color w:val="36363d"/>
        </w:rPr>
      </w:pPr>
      <w:r>
        <w:rPr>
          <w:rFonts w:ascii="Arial" w:cs="Arial" w:eastAsia="Arial" w:hAnsi="Arial"/>
          <w:color w:val="36363d"/>
          <w:sz w:val="22"/>
          <w:szCs w:val="22"/>
        </w:rPr>
        <w:t>The system will be evaluated using a structured questionnaire adapted from the ISO/IEC 25010 Software Quality Model, covering the dimensions of functional suitability, performance efficiency, usability, reliability, and security. A five-point Likert scale will be used for all evaluation items. Mean scores and standard deviations will be computed for each quality dimension, and an overall weighted mean will be calculated to determine the system's aggregate evaluation rating.</w:t>
      </w:r>
    </w:p>
    <w:p w14:paraId="E8577916">
      <w:pPr>
        <w:pStyle w:val="style4106"/>
        <w:spacing w:before="360" w:after="120" w:lineRule="auto" w:line="300"/>
        <w:rPr>
          <w:color w:val="36363d"/>
        </w:rPr>
      </w:pPr>
      <w:r>
        <w:rPr>
          <w:rFonts w:ascii="Arial" w:cs="Arial" w:eastAsia="Arial" w:hAnsi="Arial"/>
          <w:b/>
          <w:bCs/>
          <w:color w:val="36363d"/>
          <w:sz w:val="28"/>
          <w:szCs w:val="28"/>
        </w:rPr>
        <w:t>Significance of the Study</w:t>
      </w:r>
    </w:p>
    <w:p w14:paraId="BFCA84B3">
      <w:pPr>
        <w:pStyle w:val="style0"/>
        <w:spacing w:before="80" w:after="80" w:lineRule="auto" w:line="300"/>
        <w:ind w:firstLine="720"/>
        <w:jc w:val="both"/>
        <w:rPr>
          <w:color w:val="36363d"/>
        </w:rPr>
      </w:pPr>
      <w:r>
        <w:rPr>
          <w:rFonts w:ascii="Arial" w:cs="Arial" w:eastAsia="Arial" w:hAnsi="Arial"/>
          <w:color w:val="36363d"/>
          <w:sz w:val="22"/>
          <w:szCs w:val="22"/>
        </w:rPr>
        <w:t>The proposed AgriConnect system is expected to generate substantive and practical benefits for multiple stakeholder groups within the agricultural trade ecosystem of Manolo Fortich, Bukidnon.</w:t>
      </w:r>
    </w:p>
    <w:p w14:paraId="EB323F67">
      <w:pPr>
        <w:pStyle w:val="style0"/>
        <w:spacing w:before="80" w:after="80" w:lineRule="auto" w:line="300"/>
        <w:ind w:firstLine="720"/>
        <w:jc w:val="both"/>
        <w:rPr>
          <w:b/>
          <w:bCs/>
          <w:color w:val="36363d"/>
          <w:sz w:val="22"/>
          <w:szCs w:val="22"/>
          <w:lang w:val="en-US"/>
        </w:rPr>
      </w:pPr>
      <w:r>
        <w:rPr>
          <w:b/>
          <w:bCs/>
          <w:color w:val="36363d"/>
          <w:sz w:val="22"/>
          <w:szCs w:val="22"/>
          <w:lang w:val="en-US"/>
        </w:rPr>
        <w:t>Farmers</w:t>
      </w:r>
    </w:p>
    <w:p w14:paraId="EBCFE86C">
      <w:pPr>
        <w:pStyle w:val="style0"/>
        <w:spacing w:before="80" w:after="80" w:lineRule="auto" w:line="300"/>
        <w:ind w:firstLine="720"/>
        <w:jc w:val="both"/>
        <w:rPr>
          <w:color w:val="36363d"/>
        </w:rPr>
      </w:pPr>
    </w:p>
    <w:p w14:paraId="AABE7CC0">
      <w:pPr>
        <w:pStyle w:val="style0"/>
        <w:spacing w:before="80" w:after="80" w:lineRule="auto" w:line="300"/>
        <w:ind w:firstLine="720"/>
        <w:jc w:val="both"/>
        <w:rPr>
          <w:color w:val="36363d"/>
          <w:lang w:val="en-US"/>
        </w:rPr>
      </w:pPr>
      <w:r>
        <w:rPr>
          <w:color w:val="36363d"/>
          <w:lang w:val="en-US"/>
        </w:rPr>
        <w:t>The system provides farmers with a direct digital platform to sell crops without relying on middlemen, helping them access fair market prices and a wider pool of buyers. Through the GIS map, buyers can easily locate farms and view available products. The advance reservation feature allows farmers to secure buyers before harvest, reducing post-harvest losses, while the reputation and rating system helps build trust and credibility through verified transaction records.</w:t>
      </w:r>
    </w:p>
    <w:p w14:paraId="7C40E0D7">
      <w:pPr>
        <w:pStyle w:val="style0"/>
        <w:spacing w:before="80" w:after="80" w:lineRule="auto" w:line="300"/>
        <w:ind w:firstLine="720"/>
        <w:jc w:val="both"/>
        <w:rPr>
          <w:color w:val="36363d"/>
        </w:rPr>
      </w:pPr>
    </w:p>
    <w:p w14:paraId="BE88EE34">
      <w:pPr>
        <w:pStyle w:val="style0"/>
        <w:spacing w:before="80" w:after="80" w:lineRule="auto" w:line="300"/>
        <w:ind w:firstLine="720"/>
        <w:jc w:val="both"/>
        <w:rPr>
          <w:color w:val="36363d"/>
        </w:rPr>
      </w:pPr>
    </w:p>
    <w:p w14:paraId="9288A3D0">
      <w:pPr>
        <w:pStyle w:val="style0"/>
        <w:spacing w:before="80" w:after="80" w:lineRule="auto" w:line="300"/>
        <w:ind w:firstLine="720"/>
        <w:jc w:val="both"/>
        <w:rPr>
          <w:color w:val="36363d"/>
        </w:rPr>
      </w:pPr>
    </w:p>
    <w:p w14:paraId="A1088F4D">
      <w:pPr>
        <w:pStyle w:val="style4107"/>
        <w:spacing w:before="240" w:after="80" w:lineRule="auto" w:line="300"/>
        <w:rPr>
          <w:color w:val="36363d"/>
        </w:rPr>
      </w:pPr>
      <w:r>
        <w:rPr>
          <w:rFonts w:ascii="Arial" w:cs="Arial" w:eastAsia="Arial" w:hAnsi="Arial"/>
          <w:b/>
          <w:bCs/>
          <w:color w:val="36363d"/>
          <w:sz w:val="24"/>
          <w:szCs w:val="24"/>
        </w:rPr>
        <w:t>Buyers</w:t>
      </w:r>
    </w:p>
    <w:p w14:paraId="BD2B9BA9">
      <w:pPr>
        <w:pStyle w:val="style0"/>
        <w:spacing w:before="80" w:after="80" w:lineRule="auto" w:line="300"/>
        <w:ind w:firstLine="720"/>
        <w:jc w:val="both"/>
        <w:rPr>
          <w:color w:val="36363d"/>
        </w:rPr>
      </w:pPr>
      <w:r>
        <w:rPr>
          <w:rFonts w:ascii="Arial" w:cs="Arial" w:eastAsia="Arial" w:hAnsi="Arial"/>
          <w:color w:val="36363d"/>
          <w:sz w:val="22"/>
          <w:szCs w:val="22"/>
        </w:rPr>
        <w:t>The Leaflet GIS module reduces sourcing time and transportation expenditures by enabling buyers to identify farms nearest to their location that offer the specific crops they require, without the need for prior direct knowledge of individual farm positions. The crop reservation module allows buyers to secure crops before harvest, substantially reducing sourcing uncertainty during periods of peak agricultural demand. Multi-farm collection route visualization minimizes total pickup time and fuel costs for buyers procuring from multiple farm sources simultaneously. The reputation system allows buyers to assess the credibility and reliability of a farmer prior to committing to a transaction, reducing the risk of receiving substandard goods or encountering unfulfilled reservation agreements.</w:t>
      </w:r>
    </w:p>
    <w:p w14:paraId="4E912CD7">
      <w:pPr>
        <w:pStyle w:val="style4107"/>
        <w:spacing w:before="240" w:after="80" w:lineRule="auto" w:line="300"/>
        <w:rPr>
          <w:color w:val="36363d"/>
        </w:rPr>
      </w:pPr>
      <w:r>
        <w:rPr>
          <w:rFonts w:ascii="Arial" w:cs="Arial" w:eastAsia="Arial" w:hAnsi="Arial"/>
          <w:b/>
          <w:bCs/>
          <w:color w:val="36363d"/>
          <w:sz w:val="24"/>
          <w:szCs w:val="24"/>
        </w:rPr>
        <w:t>Local Government Units</w:t>
      </w:r>
    </w:p>
    <w:p w14:paraId="6A0552B5">
      <w:pPr>
        <w:pStyle w:val="style0"/>
        <w:spacing w:before="80" w:after="80" w:lineRule="auto" w:line="300"/>
        <w:ind w:firstLine="720"/>
        <w:jc w:val="both"/>
        <w:rPr>
          <w:color w:val="36363d"/>
        </w:rPr>
      </w:pPr>
      <w:r>
        <w:rPr>
          <w:rFonts w:ascii="Arial" w:cs="Arial" w:eastAsia="Arial" w:hAnsi="Arial"/>
          <w:color w:val="36363d"/>
          <w:sz w:val="22"/>
          <w:szCs w:val="22"/>
        </w:rPr>
        <w:t>The system generates structured spatial data on farm locations, crop distribution patterns, and platform transaction activity that can directly support evidence-based agricultural planning and policy formulation. Leaflet map data layers can assist LGU agricultural officers in identifying geographic areas with limited market access or underserved farming communities that may benefit from targeted government agricultural extension programs and support interventions.</w:t>
      </w:r>
    </w:p>
    <w:p w14:paraId="4ABECDA3">
      <w:pPr>
        <w:pStyle w:val="style4107"/>
        <w:spacing w:before="240" w:after="80" w:lineRule="auto" w:line="300"/>
        <w:rPr>
          <w:color w:val="36363d"/>
        </w:rPr>
      </w:pPr>
      <w:r>
        <w:rPr>
          <w:rFonts w:ascii="Arial" w:cs="Arial" w:eastAsia="Arial" w:hAnsi="Arial"/>
          <w:b/>
          <w:bCs/>
          <w:color w:val="36363d"/>
          <w:sz w:val="24"/>
          <w:szCs w:val="24"/>
        </w:rPr>
        <w:t>Future Researchers</w:t>
      </w:r>
    </w:p>
    <w:p w14:paraId="E5E7F9EC">
      <w:pPr>
        <w:pStyle w:val="style0"/>
        <w:spacing w:before="80" w:after="80" w:lineRule="auto" w:line="300"/>
        <w:ind w:firstLine="720"/>
        <w:jc w:val="both"/>
        <w:rPr>
          <w:color w:val="36363d"/>
        </w:rPr>
      </w:pPr>
      <w:r>
        <w:rPr>
          <w:rFonts w:ascii="Arial" w:cs="Arial" w:eastAsia="Arial" w:hAnsi="Arial"/>
          <w:color w:val="36363d"/>
          <w:sz w:val="22"/>
          <w:szCs w:val="22"/>
        </w:rPr>
        <w:t>AgriConnect provides a documented and replicable reference for the design and implementation of GIS-enabled agricultural e-commerce systems, dual-profile reputation architectures in digital market platforms, and the integrated application of advance purchase reservation and escrow payment mechanisms within Philippine smallholder farming contexts. The system methodology and evaluation findings may serve as a foundation for future investigations into agricultural technology, rural market digitalization, and food supply chain optimization in comparable municipal settings.</w:t>
      </w:r>
    </w:p>
    <w:p w14:paraId="A76FE13C">
      <w:pPr>
        <w:pStyle w:val="style4106"/>
        <w:spacing w:before="360" w:after="120" w:lineRule="auto" w:line="300"/>
        <w:rPr>
          <w:color w:val="36363d"/>
        </w:rPr>
      </w:pPr>
      <w:r>
        <w:rPr>
          <w:rFonts w:ascii="Arial" w:cs="Arial" w:eastAsia="Arial" w:hAnsi="Arial"/>
          <w:b/>
          <w:bCs/>
          <w:color w:val="36363d"/>
          <w:sz w:val="28"/>
          <w:szCs w:val="28"/>
        </w:rPr>
        <w:t>References</w:t>
      </w:r>
    </w:p>
    <w:p w14:paraId="8C2FA777">
      <w:pPr>
        <w:pStyle w:val="style0"/>
        <w:spacing w:before="80" w:after="80" w:lineRule="auto" w:line="300"/>
        <w:ind w:left="720" w:hanging="720"/>
        <w:rPr>
          <w:rFonts w:ascii="Arial" w:cs="Arial" w:eastAsia="Arial" w:hAnsi="Arial"/>
          <w:color w:val="36363d"/>
          <w:sz w:val="18"/>
          <w:szCs w:val="18"/>
          <w:lang w:val="en-US"/>
        </w:rPr>
      </w:pPr>
      <w:r>
        <w:rPr>
          <w:rFonts w:ascii="Arial" w:cs="Arial" w:eastAsia="Arial" w:hAnsi="Arial"/>
          <w:color w:val="36363d"/>
          <w:sz w:val="18"/>
          <w:szCs w:val="18"/>
          <w:lang w:val="en-US"/>
        </w:rPr>
        <w:t>References</w:t>
      </w:r>
    </w:p>
    <w:p w14:paraId="A5B11B84">
      <w:pPr>
        <w:pStyle w:val="style0"/>
        <w:spacing w:before="80" w:after="80" w:lineRule="auto" w:line="300"/>
        <w:ind w:left="720" w:hanging="720"/>
        <w:rPr>
          <w:color w:val="36363d"/>
          <w:sz w:val="18"/>
          <w:szCs w:val="18"/>
        </w:rPr>
      </w:pPr>
    </w:p>
    <w:p w14:paraId="ADE7FCB4">
      <w:pPr>
        <w:pStyle w:val="style0"/>
        <w:spacing w:before="80" w:after="80" w:lineRule="auto" w:line="300"/>
        <w:ind w:left="720" w:hanging="720"/>
        <w:rPr>
          <w:rFonts w:ascii="Arial" w:cs="Arial" w:hAnsi="Arial"/>
          <w:color w:val="36363d"/>
          <w:sz w:val="18"/>
          <w:szCs w:val="18"/>
          <w:lang w:val="en-US"/>
        </w:rPr>
      </w:pPr>
      <w:r>
        <w:rPr>
          <w:rFonts w:ascii="Arial" w:cs="Arial" w:hAnsi="Arial"/>
          <w:color w:val="36363d"/>
          <w:sz w:val="18"/>
          <w:szCs w:val="18"/>
          <w:lang w:val="en-US"/>
        </w:rPr>
        <w:t>Abebe, G. K., &amp; Teka, A. M. (2022). Digital agricultural platforms and market access among smallholder farmers. https://scholar.google.com</w:t>
      </w:r>
    </w:p>
    <w:p w14:paraId="9B5E74CB">
      <w:pPr>
        <w:pStyle w:val="style0"/>
        <w:spacing w:before="80" w:after="80" w:lineRule="auto" w:line="300"/>
        <w:ind w:left="720" w:hanging="720"/>
        <w:rPr>
          <w:color w:val="36363d"/>
          <w:sz w:val="18"/>
          <w:szCs w:val="18"/>
        </w:rPr>
      </w:pPr>
    </w:p>
    <w:p w14:paraId="8C5D6512">
      <w:pPr>
        <w:pStyle w:val="style0"/>
        <w:spacing w:before="80" w:after="80" w:lineRule="auto" w:line="300"/>
        <w:ind w:left="720" w:hanging="720"/>
        <w:rPr>
          <w:rFonts w:ascii="Arial" w:cs="Arial" w:hAnsi="Arial"/>
          <w:color w:val="36363d"/>
          <w:sz w:val="18"/>
          <w:szCs w:val="18"/>
          <w:lang w:val="en-US"/>
        </w:rPr>
      </w:pPr>
      <w:r>
        <w:rPr>
          <w:rFonts w:ascii="Arial" w:cs="Arial" w:hAnsi="Arial"/>
          <w:color w:val="36363d"/>
          <w:sz w:val="18"/>
          <w:szCs w:val="18"/>
          <w:lang w:val="en-US"/>
        </w:rPr>
        <w:t>Bai, J., Zhang, C., &amp; Jiang, J. (2021). E-commerce, logistics integration, and farmer welfare: Evidence from agricultural supply chains. https://scholar.google.com</w:t>
      </w:r>
    </w:p>
    <w:p w14:paraId="CB6B7713">
      <w:pPr>
        <w:pStyle w:val="style0"/>
        <w:spacing w:before="80" w:after="80" w:lineRule="auto" w:line="300"/>
        <w:ind w:left="720" w:hanging="720"/>
        <w:rPr>
          <w:color w:val="36363d"/>
          <w:sz w:val="18"/>
          <w:szCs w:val="18"/>
        </w:rPr>
      </w:pPr>
    </w:p>
    <w:p w14:paraId="BA15DE8E">
      <w:pPr>
        <w:pStyle w:val="style0"/>
        <w:spacing w:before="80" w:after="80" w:lineRule="auto" w:line="300"/>
        <w:ind w:left="720" w:hanging="720"/>
        <w:rPr>
          <w:rFonts w:ascii="Arial" w:cs="Arial" w:hAnsi="Arial"/>
          <w:color w:val="36363d"/>
          <w:sz w:val="18"/>
          <w:szCs w:val="18"/>
          <w:lang w:val="en-US"/>
        </w:rPr>
      </w:pPr>
      <w:r>
        <w:rPr>
          <w:rFonts w:ascii="Arial" w:cs="Arial" w:hAnsi="Arial"/>
          <w:color w:val="36363d"/>
          <w:sz w:val="18"/>
          <w:szCs w:val="18"/>
          <w:lang w:val="en-US"/>
        </w:rPr>
        <w:t>Chen, X., Li, Y., &amp; Wang, H. (2021). GIS-enabled agricultural market information systems and rural supply chain efficiency. https://scholar.google.com</w:t>
      </w:r>
    </w:p>
    <w:p w14:paraId="818D1ADA">
      <w:pPr>
        <w:pStyle w:val="style0"/>
        <w:spacing w:before="80" w:after="80" w:lineRule="auto" w:line="300"/>
        <w:ind w:left="720" w:hanging="720"/>
        <w:rPr>
          <w:color w:val="36363d"/>
          <w:sz w:val="18"/>
          <w:szCs w:val="18"/>
        </w:rPr>
      </w:pPr>
    </w:p>
    <w:p w14:paraId="2D875271">
      <w:pPr>
        <w:pStyle w:val="style0"/>
        <w:spacing w:before="80" w:after="80" w:lineRule="auto" w:line="300"/>
        <w:ind w:left="720" w:hanging="720"/>
        <w:rPr>
          <w:rFonts w:ascii="Arial" w:cs="Arial" w:hAnsi="Arial"/>
          <w:color w:val="36363d"/>
          <w:sz w:val="18"/>
          <w:szCs w:val="18"/>
          <w:lang w:val="en-US"/>
        </w:rPr>
      </w:pPr>
      <w:r>
        <w:rPr>
          <w:rFonts w:ascii="Arial" w:cs="Arial" w:hAnsi="Arial"/>
          <w:color w:val="36363d"/>
          <w:sz w:val="18"/>
          <w:szCs w:val="18"/>
          <w:lang w:val="en-US"/>
        </w:rPr>
        <w:t>Chowdhury, M. A., Rahman, M. M., &amp; Islam, M. S. (2023). Escrow-based payment systems and trust in agricultural e-commerce platforms. https://scholar.google.com</w:t>
      </w:r>
    </w:p>
    <w:p w14:paraId="15D2B1B7">
      <w:pPr>
        <w:pStyle w:val="style0"/>
        <w:spacing w:before="80" w:after="80" w:lineRule="auto" w:line="300"/>
        <w:ind w:left="720" w:hanging="720"/>
        <w:rPr>
          <w:color w:val="36363d"/>
          <w:sz w:val="18"/>
          <w:szCs w:val="18"/>
        </w:rPr>
      </w:pPr>
    </w:p>
    <w:p w14:paraId="86A86FC5">
      <w:pPr>
        <w:pStyle w:val="style0"/>
        <w:spacing w:before="80" w:after="80" w:lineRule="auto" w:line="300"/>
        <w:ind w:left="720" w:hanging="720"/>
        <w:rPr>
          <w:rFonts w:ascii="Arial" w:cs="Arial" w:hAnsi="Arial"/>
          <w:color w:val="36363d"/>
          <w:sz w:val="18"/>
          <w:szCs w:val="18"/>
          <w:lang w:val="en-US"/>
        </w:rPr>
      </w:pPr>
      <w:r>
        <w:rPr>
          <w:rFonts w:ascii="Arial" w:cs="Arial" w:hAnsi="Arial"/>
          <w:color w:val="36363d"/>
          <w:sz w:val="18"/>
          <w:szCs w:val="18"/>
          <w:lang w:val="en-US"/>
        </w:rPr>
        <w:t>Demmler, K. M., Ecker, O., &amp; Qaim, M. (2022). Digital innovations and contract arrangements in smallholder agriculture. https://scholar.google.com</w:t>
      </w:r>
    </w:p>
    <w:p w14:paraId="46A79C1A">
      <w:pPr>
        <w:pStyle w:val="style0"/>
        <w:spacing w:before="80" w:after="80" w:lineRule="auto" w:line="300"/>
        <w:ind w:left="720" w:hanging="720"/>
        <w:rPr>
          <w:color w:val="36363d"/>
          <w:sz w:val="18"/>
          <w:szCs w:val="18"/>
        </w:rPr>
      </w:pPr>
    </w:p>
    <w:p w14:paraId="14B2F343">
      <w:pPr>
        <w:pStyle w:val="style0"/>
        <w:spacing w:before="80" w:after="80" w:lineRule="auto" w:line="300"/>
        <w:ind w:left="720" w:hanging="720"/>
        <w:rPr>
          <w:rFonts w:ascii="Arial" w:cs="Arial" w:hAnsi="Arial"/>
          <w:color w:val="36363d"/>
          <w:sz w:val="18"/>
          <w:szCs w:val="18"/>
          <w:lang w:val="en-US"/>
        </w:rPr>
      </w:pPr>
      <w:r>
        <w:rPr>
          <w:rFonts w:ascii="Arial" w:cs="Arial" w:hAnsi="Arial"/>
          <w:color w:val="36363d"/>
          <w:sz w:val="18"/>
          <w:szCs w:val="18"/>
          <w:lang w:val="en-US"/>
        </w:rPr>
        <w:t>Farnworth, C. R., Sultana, N., &amp; Kantor, P. (2021). Inclusive digital platforms for agricultural market participation. https://scholar.google.com</w:t>
      </w:r>
    </w:p>
    <w:p w14:paraId="FEF3B213">
      <w:pPr>
        <w:pStyle w:val="style0"/>
        <w:spacing w:before="80" w:after="80" w:lineRule="auto" w:line="300"/>
        <w:ind w:left="720" w:hanging="720"/>
        <w:rPr>
          <w:color w:val="36363d"/>
          <w:sz w:val="18"/>
          <w:szCs w:val="18"/>
        </w:rPr>
      </w:pPr>
    </w:p>
    <w:p w14:paraId="84925792">
      <w:pPr>
        <w:pStyle w:val="style0"/>
        <w:spacing w:before="80" w:after="80" w:lineRule="auto" w:line="300"/>
        <w:ind w:left="720" w:hanging="720"/>
        <w:rPr>
          <w:rFonts w:ascii="Arial" w:cs="Arial" w:hAnsi="Arial"/>
          <w:color w:val="36363d"/>
          <w:sz w:val="18"/>
          <w:szCs w:val="18"/>
          <w:lang w:val="en-US"/>
        </w:rPr>
      </w:pPr>
      <w:r>
        <w:rPr>
          <w:rFonts w:ascii="Arial" w:cs="Arial" w:hAnsi="Arial"/>
          <w:color w:val="36363d"/>
          <w:sz w:val="18"/>
          <w:szCs w:val="18"/>
          <w:lang w:val="en-US"/>
        </w:rPr>
        <w:t>Guo, H., Wang, Y., &amp; Li, X. (2023). Reputation systems and transaction quality in online agricultural marketplaces. https://scholar.google.com</w:t>
      </w:r>
    </w:p>
    <w:p w14:paraId="A62AA604">
      <w:pPr>
        <w:pStyle w:val="style0"/>
        <w:spacing w:before="80" w:after="80" w:lineRule="auto" w:line="300"/>
        <w:ind w:left="720" w:hanging="720"/>
        <w:rPr>
          <w:color w:val="36363d"/>
          <w:sz w:val="18"/>
          <w:szCs w:val="18"/>
        </w:rPr>
      </w:pPr>
    </w:p>
    <w:p w14:paraId="8C7BFAC7">
      <w:pPr>
        <w:pStyle w:val="style0"/>
        <w:spacing w:before="80" w:after="80" w:lineRule="auto" w:line="300"/>
        <w:ind w:left="720" w:hanging="720"/>
        <w:rPr>
          <w:rFonts w:ascii="Arial" w:cs="Arial" w:hAnsi="Arial"/>
          <w:color w:val="36363d"/>
          <w:sz w:val="18"/>
          <w:szCs w:val="18"/>
          <w:lang w:val="en-US"/>
        </w:rPr>
      </w:pPr>
      <w:r>
        <w:rPr>
          <w:rFonts w:ascii="Arial" w:cs="Arial" w:hAnsi="Arial"/>
          <w:color w:val="36363d"/>
          <w:sz w:val="18"/>
          <w:szCs w:val="18"/>
          <w:lang w:val="en-US"/>
        </w:rPr>
        <w:t>Kathage, J., Qaim, M., &amp; Schmidt, E. (2022). Digital harvest scheduling and supply chain coordination in agriculture. https://scholar.google.com</w:t>
      </w:r>
    </w:p>
    <w:p w14:paraId="8D7D0739">
      <w:pPr>
        <w:pStyle w:val="style0"/>
        <w:spacing w:before="80" w:after="80" w:lineRule="auto" w:line="300"/>
        <w:ind w:left="720" w:hanging="720"/>
        <w:rPr>
          <w:color w:val="36363d"/>
          <w:sz w:val="18"/>
          <w:szCs w:val="18"/>
        </w:rPr>
      </w:pPr>
    </w:p>
    <w:p w14:paraId="659C4995">
      <w:pPr>
        <w:pStyle w:val="style0"/>
        <w:spacing w:before="80" w:after="80" w:lineRule="auto" w:line="300"/>
        <w:ind w:left="720" w:hanging="720"/>
        <w:rPr>
          <w:rFonts w:ascii="Arial" w:cs="Arial" w:hAnsi="Arial"/>
          <w:color w:val="36363d"/>
          <w:sz w:val="18"/>
          <w:szCs w:val="18"/>
          <w:lang w:val="en-US"/>
        </w:rPr>
      </w:pPr>
      <w:r>
        <w:rPr>
          <w:rFonts w:ascii="Arial" w:cs="Arial" w:hAnsi="Arial"/>
          <w:color w:val="36363d"/>
          <w:sz w:val="18"/>
          <w:szCs w:val="18"/>
          <w:lang w:val="en-US"/>
        </w:rPr>
        <w:t>Liu, Y., Zhao, X., &amp; Zhang, H. (2021). Agricultural e-commerce platforms and market efficiency: A systematic review. https://scholar.google.com</w:t>
      </w:r>
    </w:p>
    <w:p w14:paraId="80686C6D">
      <w:pPr>
        <w:pStyle w:val="style0"/>
        <w:spacing w:before="80" w:after="80" w:lineRule="auto" w:line="300"/>
        <w:ind w:left="720" w:hanging="720"/>
        <w:rPr>
          <w:color w:val="36363d"/>
          <w:sz w:val="18"/>
          <w:szCs w:val="18"/>
        </w:rPr>
      </w:pPr>
    </w:p>
    <w:p w14:paraId="0B06F233">
      <w:pPr>
        <w:pStyle w:val="style0"/>
        <w:spacing w:before="80" w:after="80" w:lineRule="auto" w:line="300"/>
        <w:ind w:left="720" w:hanging="720"/>
        <w:rPr>
          <w:rFonts w:ascii="Arial" w:cs="Arial" w:hAnsi="Arial"/>
          <w:color w:val="36363d"/>
          <w:sz w:val="18"/>
          <w:szCs w:val="18"/>
          <w:lang w:val="en-US"/>
        </w:rPr>
      </w:pPr>
      <w:r>
        <w:rPr>
          <w:rFonts w:ascii="Arial" w:cs="Arial" w:hAnsi="Arial"/>
          <w:color w:val="36363d"/>
          <w:sz w:val="18"/>
          <w:szCs w:val="18"/>
          <w:lang w:val="en-US"/>
        </w:rPr>
        <w:t>Nakasone, E., Torero, M., &amp; Minten, B. (2014). The Power of Information: The ICT Revolution in Agricultural Development. https://www.annualreviews.org/doi/10.1146/annurev-resource-100913-012714</w:t>
      </w:r>
    </w:p>
    <w:p w14:paraId="6F5F3009">
      <w:pPr>
        <w:pStyle w:val="style0"/>
        <w:spacing w:before="80" w:after="80" w:lineRule="auto" w:line="300"/>
        <w:ind w:left="720" w:hanging="720"/>
        <w:rPr>
          <w:color w:val="36363d"/>
          <w:sz w:val="18"/>
          <w:szCs w:val="18"/>
        </w:rPr>
      </w:pPr>
    </w:p>
    <w:p w14:paraId="4153AE81">
      <w:pPr>
        <w:pStyle w:val="style0"/>
        <w:spacing w:before="80" w:after="80" w:lineRule="auto" w:line="300"/>
        <w:ind w:left="720" w:hanging="720"/>
        <w:rPr>
          <w:rFonts w:ascii="Arial" w:cs="Arial" w:hAnsi="Arial"/>
          <w:color w:val="36363d"/>
          <w:sz w:val="18"/>
          <w:szCs w:val="18"/>
          <w:lang w:val="en-US"/>
        </w:rPr>
      </w:pPr>
      <w:r>
        <w:rPr>
          <w:rFonts w:ascii="Arial" w:cs="Arial" w:hAnsi="Arial"/>
          <w:color w:val="36363d"/>
          <w:sz w:val="18"/>
          <w:szCs w:val="18"/>
          <w:lang w:val="en-US"/>
        </w:rPr>
        <w:t>Ogunyemi, A. I., Adebayo, O. O., &amp; Adewuyi, T. O. (2020). GIS-based route optimization for agricultural logistics and transportation efficiency. https://scholar.google.com</w:t>
      </w:r>
    </w:p>
    <w:p w14:paraId="AB84A52E">
      <w:pPr>
        <w:pStyle w:val="style0"/>
        <w:spacing w:before="80" w:after="80" w:lineRule="auto" w:line="300"/>
        <w:ind w:left="720" w:hanging="720"/>
        <w:rPr>
          <w:color w:val="36363d"/>
          <w:sz w:val="18"/>
          <w:szCs w:val="18"/>
        </w:rPr>
      </w:pPr>
    </w:p>
    <w:p w14:paraId="A46B594B">
      <w:pPr>
        <w:pStyle w:val="style0"/>
        <w:spacing w:before="80" w:after="80" w:lineRule="auto" w:line="300"/>
        <w:ind w:left="720" w:hanging="720"/>
        <w:rPr>
          <w:rFonts w:ascii="Arial" w:cs="Arial" w:hAnsi="Arial"/>
          <w:color w:val="36363d"/>
          <w:sz w:val="18"/>
          <w:szCs w:val="18"/>
          <w:lang w:val="en-US"/>
        </w:rPr>
      </w:pPr>
      <w:r>
        <w:rPr>
          <w:rFonts w:ascii="Arial" w:cs="Arial" w:hAnsi="Arial"/>
          <w:color w:val="36363d"/>
          <w:sz w:val="18"/>
          <w:szCs w:val="18"/>
          <w:lang w:val="en-US"/>
        </w:rPr>
        <w:t>Svensson, J., &amp; Yanagizawa, D. (2009). Getting Prices Right: The Impact of the Market Information Service in Uganda. https://academic.oup.com/jeea/article/7/2-3/435/2317595</w:t>
      </w:r>
    </w:p>
    <w:p w14:paraId="8C6A8792">
      <w:pPr>
        <w:pStyle w:val="style0"/>
        <w:spacing w:before="80" w:after="80" w:lineRule="auto" w:line="300"/>
        <w:ind w:left="720" w:hanging="720"/>
        <w:rPr>
          <w:color w:val="36363d"/>
          <w:sz w:val="18"/>
          <w:szCs w:val="18"/>
        </w:rPr>
      </w:pPr>
    </w:p>
    <w:p w14:paraId="89A93AEA">
      <w:pPr>
        <w:pStyle w:val="style0"/>
        <w:spacing w:before="80" w:after="80" w:lineRule="auto" w:line="300"/>
        <w:ind w:left="720" w:hanging="720"/>
        <w:rPr>
          <w:rFonts w:ascii="Arial" w:cs="Arial" w:hAnsi="Arial"/>
          <w:color w:val="36363d"/>
          <w:sz w:val="18"/>
          <w:szCs w:val="18"/>
          <w:lang w:val="en-US"/>
        </w:rPr>
      </w:pPr>
      <w:r>
        <w:rPr>
          <w:rFonts w:ascii="Arial" w:cs="Arial" w:hAnsi="Arial"/>
          <w:color w:val="36363d"/>
          <w:sz w:val="18"/>
          <w:szCs w:val="18"/>
          <w:lang w:val="en-US"/>
        </w:rPr>
        <w:t>Tripathi, S., &amp; Bhavani, R. V. (2022). Open-source GIS technologies for agricultural e-commerce and rural market systems. https://scholar.google.com</w:t>
      </w:r>
    </w:p>
    <w:p w14:paraId="05E15A3B">
      <w:pPr>
        <w:pStyle w:val="style0"/>
        <w:spacing w:before="80" w:after="80" w:lineRule="auto" w:line="300"/>
        <w:ind w:left="720" w:hanging="720"/>
        <w:rPr>
          <w:color w:val="36363d"/>
          <w:sz w:val="18"/>
          <w:szCs w:val="18"/>
        </w:rPr>
      </w:pPr>
    </w:p>
    <w:p w14:paraId="15FA9736">
      <w:pPr>
        <w:pStyle w:val="style0"/>
        <w:spacing w:before="80" w:after="80" w:lineRule="auto" w:line="300"/>
        <w:ind w:left="720" w:hanging="720"/>
        <w:rPr>
          <w:rFonts w:ascii="Arial" w:cs="Arial" w:hAnsi="Arial"/>
          <w:color w:val="36363d"/>
          <w:sz w:val="18"/>
          <w:szCs w:val="18"/>
          <w:lang w:val="en-US"/>
        </w:rPr>
      </w:pPr>
      <w:r>
        <w:rPr>
          <w:rFonts w:ascii="Arial" w:cs="Arial" w:hAnsi="Arial"/>
          <w:color w:val="36363d"/>
          <w:sz w:val="18"/>
          <w:szCs w:val="18"/>
          <w:lang w:val="en-US"/>
        </w:rPr>
        <w:t>Leaflet.js Official Documentation. https://leafletjs.com/</w:t>
      </w:r>
    </w:p>
    <w:p w14:paraId="0C449215">
      <w:pPr>
        <w:pStyle w:val="style0"/>
        <w:spacing w:before="80" w:after="80" w:lineRule="auto" w:line="300"/>
        <w:ind w:left="720" w:hanging="720"/>
        <w:rPr>
          <w:color w:val="36363d"/>
          <w:sz w:val="18"/>
          <w:szCs w:val="18"/>
        </w:rPr>
      </w:pPr>
    </w:p>
    <w:p w14:paraId="AEB24467">
      <w:pPr>
        <w:pStyle w:val="style0"/>
        <w:spacing w:before="80" w:after="80" w:lineRule="auto" w:line="300"/>
        <w:ind w:left="720" w:hanging="720"/>
        <w:rPr>
          <w:color w:val="36363d"/>
          <w:sz w:val="18"/>
          <w:szCs w:val="18"/>
        </w:rPr>
      </w:pPr>
      <w:r>
        <w:rPr>
          <w:rFonts w:ascii="Arial" w:cs="Arial" w:hAnsi="Arial"/>
          <w:color w:val="36363d"/>
          <w:sz w:val="18"/>
          <w:szCs w:val="18"/>
          <w:lang w:val="en-US"/>
        </w:rPr>
        <w:t>ISO/IEC 25010 Software Quality Model. https://iso25000.com/index.php/en/iso-25000-standards/iso-25010</w:t>
      </w:r>
    </w:p>
    <w:sectPr>
      <w:pgSz w:w="12240" w:h="15840" w:orient="portrait"/>
      <w:pgMar w:top="1440" w:right="1260" w:bottom="1440" w:left="1440" w:header="708" w:footer="708" w:gutter="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altName w:val="Arial"/>
    <w:panose1 w:val="020b0604020002020204"/>
    <w:charset w:val="01"/>
    <w:family w:val="swiss"/>
    <w:pitch w:val="default"/>
    <w:sig w:usb0="00007A87" w:usb1="80000000" w:usb2="00000008"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FFFFFFFF"/>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1">
    <w:nsid w:val="00000001"/>
    <w:multiLevelType w:val="hybridMultilevel"/>
    <w:tmpl w:val="FFFFFFFF"/>
    <w:lvl w:ilvl="0" w:tentative="1">
      <w:start w:val="1"/>
      <w:numFmt w:val="bullet"/>
      <w:lvlText w:val="•"/>
      <w:lvlJc w:val="left"/>
      <w:pPr>
        <w:ind w:left="72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w="http://schemas.openxmlformats.org/wordprocessingml/2006/main" xmlns:r="http://schemas.openxmlformats.org/officeDocument/2006/relationships" xmlns:m="http://schemas.openxmlformats.org/officeDocument/2006/math">
  <w:displayBackgroundShape/>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compat>
    <w:compatSetting w:name="compatibilityMode" w:uri="http://schemas.microsoft.com/office/word" w:val="15"/>
  </w:compat>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Arial" w:cs="Arial" w:eastAsia="Arial" w:hAnsi="Arial"/>
        <w:sz w:val="22"/>
        <w:szCs w:val="22"/>
      </w:rPr>
    </w:rPrDefault>
    <w:pPrDefault>
      <w:pPr/>
    </w:pPrDefault>
  </w:docDefaults>
  <w:style w:type="paragraph" w:styleId="style62">
    <w:name w:val="Title"/>
    <w:next w:val="style62"/>
    <w:qFormat/>
    <w:pPr/>
    <w:rPr>
      <w:sz w:val="56"/>
      <w:szCs w:val="56"/>
    </w:rPr>
  </w:style>
  <w:style w:type="paragraph" w:customStyle="1" w:styleId="style4106">
    <w:name w:val="Heading 1"/>
    <w:next w:val="style4106"/>
    <w:qFormat/>
    <w:pPr>
      <w:spacing w:before="360" w:after="120"/>
      <w:outlineLvl w:val="0"/>
    </w:pPr>
    <w:rPr>
      <w:rFonts w:ascii="Arial" w:cs="Arial" w:eastAsia="Arial" w:hAnsi="Arial"/>
      <w:b/>
      <w:bCs/>
      <w:color w:val="1a5276"/>
      <w:sz w:val="28"/>
      <w:szCs w:val="28"/>
    </w:rPr>
  </w:style>
  <w:style w:type="paragraph" w:customStyle="1" w:styleId="style4107">
    <w:name w:val="Heading 2"/>
    <w:next w:val="style4107"/>
    <w:qFormat/>
    <w:pPr>
      <w:spacing w:before="240" w:after="80"/>
      <w:outlineLvl w:val="1"/>
    </w:pPr>
    <w:rPr>
      <w:rFonts w:ascii="Arial" w:cs="Arial" w:eastAsia="Arial" w:hAnsi="Arial"/>
      <w:b/>
      <w:bCs/>
      <w:color w:val="2e4057"/>
      <w:sz w:val="24"/>
      <w:szCs w:val="24"/>
    </w:rPr>
  </w:style>
  <w:style w:type="paragraph" w:customStyle="1" w:styleId="style4099">
    <w:name w:val="Heading 3"/>
    <w:next w:val="style4099"/>
    <w:qFormat/>
    <w:pPr/>
    <w:rPr>
      <w:color w:val="1f4d78"/>
      <w:sz w:val="24"/>
      <w:szCs w:val="24"/>
    </w:rPr>
  </w:style>
  <w:style w:type="paragraph" w:customStyle="1" w:styleId="style4100">
    <w:name w:val="Heading 4"/>
    <w:next w:val="style4100"/>
    <w:qFormat/>
    <w:pPr/>
    <w:rPr>
      <w:i/>
      <w:iCs/>
      <w:color w:val="2e74b5"/>
    </w:rPr>
  </w:style>
  <w:style w:type="paragraph" w:customStyle="1" w:styleId="style4101">
    <w:name w:val="Heading 5"/>
    <w:next w:val="style4101"/>
    <w:qFormat/>
    <w:pPr/>
    <w:rPr>
      <w:color w:val="2e74b5"/>
    </w:rPr>
  </w:style>
  <w:style w:type="paragraph" w:customStyle="1" w:styleId="style4102">
    <w:name w:val="Heading 6"/>
    <w:next w:val="style4102"/>
    <w:qFormat/>
    <w:pPr/>
    <w:rPr>
      <w:color w:val="1f4d78"/>
    </w:rPr>
  </w:style>
  <w:style w:type="paragraph" w:customStyle="1" w:styleId="style4103">
    <w:name w:val="Strong_f01250b0-62d7-49cb-8c62-70215599a919"/>
    <w:next w:val="style4103"/>
    <w:qFormat/>
    <w:pPr/>
    <w:rPr>
      <w:b/>
      <w:bCs/>
    </w:rPr>
  </w:style>
  <w:style w:type="paragraph" w:styleId="style179">
    <w:name w:val="List Paragraph"/>
    <w:next w:val="style179"/>
    <w:qFormat/>
    <w:pPr/>
  </w:style>
  <w:style w:type="character" w:styleId="style85">
    <w:name w:val="Hyperlink"/>
    <w:next w:val="style85"/>
    <w:uiPriority w:val="99"/>
    <w:rPr>
      <w:color w:val="0563c1"/>
      <w:u w:val="single"/>
    </w:rPr>
  </w:style>
  <w:style w:type="character" w:styleId="style38">
    <w:name w:val="footnote reference"/>
    <w:next w:val="style38"/>
    <w:uiPriority w:val="99"/>
    <w:rPr>
      <w:vertAlign w:val="superscript"/>
    </w:rPr>
  </w:style>
  <w:style w:type="paragraph" w:styleId="style29">
    <w:name w:val="footnote text"/>
    <w:next w:val="style29"/>
    <w:link w:val="style4104"/>
    <w:uiPriority w:val="99"/>
    <w:pPr>
      <w:spacing w:after="0" w:lineRule="auto" w:line="240"/>
    </w:pPr>
    <w:rPr>
      <w:sz w:val="20"/>
      <w:szCs w:val="20"/>
    </w:rPr>
  </w:style>
  <w:style w:type="character" w:customStyle="1" w:styleId="style4104">
    <w:name w:val="Footnote Text Char"/>
    <w:next w:val="style4104"/>
    <w:link w:val="style29"/>
    <w:uiPriority w:val="99"/>
    <w:rPr>
      <w:sz w:val="20"/>
      <w:szCs w:val="20"/>
    </w:rPr>
  </w:style>
  <w:style w:type="character" w:styleId="style42">
    <w:name w:val="endnote reference"/>
    <w:next w:val="style42"/>
    <w:uiPriority w:val="99"/>
    <w:rPr>
      <w:vertAlign w:val="superscript"/>
    </w:rPr>
  </w:style>
  <w:style w:type="paragraph" w:styleId="style43">
    <w:name w:val="endnote text"/>
    <w:next w:val="style43"/>
    <w:link w:val="style4105"/>
    <w:uiPriority w:val="99"/>
    <w:pPr>
      <w:spacing w:after="0" w:lineRule="auto" w:line="240"/>
    </w:pPr>
    <w:rPr>
      <w:sz w:val="20"/>
      <w:szCs w:val="20"/>
    </w:rPr>
  </w:style>
  <w:style w:type="character" w:customStyle="1" w:styleId="style4105">
    <w:name w:val="Endnote Text Char"/>
    <w:next w:val="style4105"/>
    <w:link w:val="style43"/>
    <w:uiPriority w:val="99"/>
    <w:rPr>
      <w:sz w:val="20"/>
      <w:szCs w:val="20"/>
    </w:rPr>
  </w:style>
  <w:style w:type="paragraph" w:default="1" w:styleId="style0">
    <w:name w:val="Normal"/>
    <w:pPr>
      <w:jc w:val="both"/>
    </w:pPr>
    <w:rPr>
      <w:sz w:val="21"/>
    </w:rPr>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table" w:styleId="style154">
    <w:name w:val="Table Grid"/>
    <w:basedOn w:val="style105"/>
    <w:next w:val="style154"/>
    <w:uiPriority w:val="59"/>
    <w:pP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tcBorders/>
    </w:tcPr>
  </w:style>
  <w:style w:type="table" w:styleId="style167">
    <w:name w:val="Medium Grid 3"/>
    <w:basedOn w:val="style105"/>
    <w:next w:val="style167"/>
    <w:uiPriority w:val="69"/>
    <w:pPr/>
    <w:rPr/>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c0c0c0"/>
      <w:tblCellMar>
        <w:top w:w="0" w:type="dxa"/>
        <w:left w:w="108" w:type="dxa"/>
        <w:bottom w:w="0" w:type="dxa"/>
        <w:right w:w="108" w:type="dxa"/>
      </w:tblCellMar>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000000"/>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000000"/>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808080"/>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000000"/>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000000"/>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808080"/>
      </w:tcPr>
    </w:tblStylePr>
    <w:tcPr>
      <w:tcBorders/>
      <w:shd w:val="clear" w:color="auto" w:fill="c0c0c0"/>
    </w:tcPr>
  </w:style>
  <w:style w:type="table" w:styleId="style185">
    <w:name w:val="Medium Grid 3 Accent 1"/>
    <w:basedOn w:val="style105"/>
    <w:next w:val="style185"/>
    <w:uiPriority w:val="69"/>
    <w:pPr/>
    <w:rPr/>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3dfee"/>
      <w:tblCellMar>
        <w:top w:w="0" w:type="dxa"/>
        <w:left w:w="108" w:type="dxa"/>
        <w:bottom w:w="0" w:type="dxa"/>
        <w:right w:w="108" w:type="dxa"/>
      </w:tblCellMar>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4f81bd"/>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4f81bd"/>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a7bfde"/>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4f81bd"/>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4f81bd"/>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a7bfde"/>
      </w:tcPr>
    </w:tblStylePr>
    <w:tcPr>
      <w:tcBorders/>
      <w:shd w:val="clear" w:color="auto" w:fill="d3dfee"/>
    </w:tcPr>
  </w:style>
  <w:style w:type="table" w:styleId="style199">
    <w:name w:val="Medium Grid 3 Accent 2"/>
    <w:basedOn w:val="style105"/>
    <w:next w:val="style199"/>
    <w:uiPriority w:val="69"/>
    <w:pPr/>
    <w:rPr/>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efd3d2"/>
      <w:tblCellMar>
        <w:top w:w="0" w:type="dxa"/>
        <w:left w:w="108" w:type="dxa"/>
        <w:bottom w:w="0" w:type="dxa"/>
        <w:right w:w="108" w:type="dxa"/>
      </w:tblCellMar>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c0504d"/>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c0504d"/>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dfa7a6"/>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c0504d"/>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c0504d"/>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dfa7a6"/>
      </w:tcPr>
    </w:tblStylePr>
    <w:tcPr>
      <w:tcBorders/>
      <w:shd w:val="clear" w:color="auto" w:fill="efd3d2"/>
    </w:tcPr>
  </w:style>
  <w:style w:type="table" w:styleId="style213">
    <w:name w:val="Medium Grid 3 Accent 3"/>
    <w:basedOn w:val="style105"/>
    <w:next w:val="style213"/>
    <w:uiPriority w:val="69"/>
    <w:pPr/>
    <w:rPr/>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e6eed5"/>
      <w:tblCellMar>
        <w:top w:w="0" w:type="dxa"/>
        <w:left w:w="108" w:type="dxa"/>
        <w:bottom w:w="0" w:type="dxa"/>
        <w:right w:w="108" w:type="dxa"/>
      </w:tblCellMar>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9bbb59"/>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9bbb59"/>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cdddac"/>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9bbb59"/>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9bbb59"/>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cdddac"/>
      </w:tcPr>
    </w:tblStylePr>
    <w:tcPr>
      <w:tcBorders/>
      <w:shd w:val="clear" w:color="auto" w:fill="e6eed5"/>
    </w:tcPr>
  </w:style>
  <w:style w:type="table" w:styleId="style227">
    <w:name w:val="Medium Grid 3 Accent 4"/>
    <w:basedOn w:val="style105"/>
    <w:next w:val="style227"/>
    <w:uiPriority w:val="69"/>
    <w:pPr/>
    <w:rPr/>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fd8e8"/>
      <w:tblCellMar>
        <w:top w:w="0" w:type="dxa"/>
        <w:left w:w="108" w:type="dxa"/>
        <w:bottom w:w="0" w:type="dxa"/>
        <w:right w:w="108" w:type="dxa"/>
      </w:tblCellMar>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8064a2"/>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8064a2"/>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bfb1d0"/>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8064a2"/>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8064a2"/>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bfb1d0"/>
      </w:tcPr>
    </w:tblStylePr>
    <w:tcPr>
      <w:tcBorders/>
      <w:shd w:val="clear" w:color="auto" w:fill="dfd8e8"/>
    </w:tcPr>
  </w:style>
  <w:style w:type="table" w:styleId="style241">
    <w:name w:val="Medium Grid 3 Accent 5"/>
    <w:basedOn w:val="style105"/>
    <w:next w:val="style241"/>
    <w:uiPriority w:val="69"/>
    <w:pPr/>
    <w:rPr/>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2eaf1"/>
      <w:tblCellMar>
        <w:top w:w="0" w:type="dxa"/>
        <w:left w:w="108" w:type="dxa"/>
        <w:bottom w:w="0" w:type="dxa"/>
        <w:right w:w="108" w:type="dxa"/>
      </w:tblCellMar>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4bacc6"/>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4bacc6"/>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a5d5e2"/>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4bacc6"/>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4bacc6"/>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a5d5e2"/>
      </w:tcPr>
    </w:tblStylePr>
    <w:tcPr>
      <w:tcBorders/>
      <w:shd w:val="clear" w:color="auto" w:fill="d2eaf1"/>
    </w:tcPr>
  </w:style>
  <w:style w:type="table" w:styleId="style255">
    <w:name w:val="Medium Grid 3 Accent 6"/>
    <w:basedOn w:val="style105"/>
    <w:next w:val="style255"/>
    <w:uiPriority w:val="69"/>
    <w:pPr/>
    <w:rPr/>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fde4d0"/>
      <w:tblCellMar>
        <w:top w:w="0" w:type="dxa"/>
        <w:left w:w="108" w:type="dxa"/>
        <w:bottom w:w="0" w:type="dxa"/>
        <w:right w:w="108" w:type="dxa"/>
      </w:tblCellMar>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f79646"/>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f79646"/>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fbcaa2"/>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f79646"/>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f79646"/>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fbcaa2"/>
      </w:tcPr>
    </w:tblStylePr>
    <w:tcPr>
      <w:tcBorders/>
      <w:shd w:val="clear" w:color="auto" w:fill="fde4d0"/>
    </w:tc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3087</Words>
  <Characters>20714</Characters>
  <Application>WPS Office</Application>
  <Paragraphs>167</Paragraphs>
  <CharactersWithSpaces>23686</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2026-06-16T03:02:17Z</dcterms:created>
  <dc:creator>Un-named</dc:creator>
  <lastModifiedBy>Infinix X6525</lastModifiedBy>
  <dcterms:modified xsi:type="dcterms:W3CDTF">2026-06-16T03:02:18Z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0e8974ec2134408296d82d029c14941f_23</vt:lpwstr>
  </property>
</Properties>
</file>