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7BE" w:rsidRDefault="00576AE5" w:rsidP="00576AE5">
      <w:pPr>
        <w:pStyle w:val="Heading1"/>
      </w:pPr>
      <w:r>
        <w:t xml:space="preserve">Opening a </w:t>
      </w:r>
      <w:r w:rsidR="00C25A34">
        <w:t xml:space="preserve">New </w:t>
      </w:r>
      <w:r>
        <w:t>Restaurant in Houston</w:t>
      </w:r>
    </w:p>
    <w:p w:rsidR="00576AE5" w:rsidRDefault="00576AE5" w:rsidP="00576AE5">
      <w:r>
        <w:t>Greg Giem</w:t>
      </w:r>
    </w:p>
    <w:p w:rsidR="00576AE5" w:rsidRDefault="00C902A1" w:rsidP="00576AE5">
      <w:r>
        <w:t>June 27</w:t>
      </w:r>
      <w:bookmarkStart w:id="0" w:name="_GoBack"/>
      <w:bookmarkEnd w:id="0"/>
      <w:r w:rsidR="00576AE5">
        <w:t>, 2019</w:t>
      </w:r>
    </w:p>
    <w:p w:rsidR="00C25A34" w:rsidRDefault="007F2F79" w:rsidP="00C25A34">
      <w:pPr>
        <w:pStyle w:val="Heading1"/>
      </w:pPr>
      <w:r>
        <w:t>Executive Summary</w:t>
      </w:r>
      <w:r w:rsidR="00C25A34">
        <w:t xml:space="preserve"> (Week 2)</w:t>
      </w:r>
    </w:p>
    <w:p w:rsidR="00576AE5" w:rsidRDefault="00576AE5" w:rsidP="00C25A34"/>
    <w:p w:rsidR="007F2F79" w:rsidRDefault="007F2F79" w:rsidP="007F2F79"/>
    <w:p w:rsidR="007F2F79" w:rsidRDefault="007F2F79" w:rsidP="007F2F79"/>
    <w:p w:rsidR="007F2F79" w:rsidRDefault="007F2F79">
      <w:r>
        <w:br w:type="page"/>
      </w:r>
    </w:p>
    <w:p w:rsidR="007F2F79" w:rsidRDefault="007F2F79" w:rsidP="007F2F79">
      <w:pPr>
        <w:pStyle w:val="Heading1"/>
      </w:pPr>
      <w:r>
        <w:lastRenderedPageBreak/>
        <w:t>Table of Contents</w:t>
      </w:r>
    </w:p>
    <w:p w:rsidR="002B1FFB" w:rsidRDefault="007F2F79">
      <w:pPr>
        <w:pStyle w:val="TOC1"/>
        <w:tabs>
          <w:tab w:val="left" w:pos="440"/>
          <w:tab w:val="right" w:leader="dot" w:pos="9350"/>
        </w:tabs>
        <w:rPr>
          <w:rFonts w:eastAsiaTheme="minorEastAsia"/>
          <w:noProof/>
        </w:rPr>
      </w:pPr>
      <w:r>
        <w:fldChar w:fldCharType="begin"/>
      </w:r>
      <w:r>
        <w:instrText xml:space="preserve"> TOC \h \z \t "Heading 2 Numbered,1,Heading 3 Numbered,2,Heading 4 Numbered,3" </w:instrText>
      </w:r>
      <w:r>
        <w:fldChar w:fldCharType="separate"/>
      </w:r>
      <w:hyperlink w:anchor="_Toc12559581" w:history="1">
        <w:r w:rsidR="002B1FFB" w:rsidRPr="00276238">
          <w:rPr>
            <w:rStyle w:val="Hyperlink"/>
            <w:noProof/>
          </w:rPr>
          <w:t>1.</w:t>
        </w:r>
        <w:r w:rsidR="002B1FFB">
          <w:rPr>
            <w:rFonts w:eastAsiaTheme="minorEastAsia"/>
            <w:noProof/>
          </w:rPr>
          <w:tab/>
        </w:r>
        <w:r w:rsidR="002B1FFB" w:rsidRPr="00276238">
          <w:rPr>
            <w:rStyle w:val="Hyperlink"/>
            <w:noProof/>
          </w:rPr>
          <w:t>Introduction (Week 1)</w:t>
        </w:r>
        <w:r w:rsidR="002B1FFB">
          <w:rPr>
            <w:noProof/>
            <w:webHidden/>
          </w:rPr>
          <w:tab/>
        </w:r>
        <w:r w:rsidR="002B1FFB">
          <w:rPr>
            <w:noProof/>
            <w:webHidden/>
          </w:rPr>
          <w:fldChar w:fldCharType="begin"/>
        </w:r>
        <w:r w:rsidR="002B1FFB">
          <w:rPr>
            <w:noProof/>
            <w:webHidden/>
          </w:rPr>
          <w:instrText xml:space="preserve"> PAGEREF _Toc12559581 \h </w:instrText>
        </w:r>
        <w:r w:rsidR="002B1FFB">
          <w:rPr>
            <w:noProof/>
            <w:webHidden/>
          </w:rPr>
        </w:r>
        <w:r w:rsidR="002B1FFB">
          <w:rPr>
            <w:noProof/>
            <w:webHidden/>
          </w:rPr>
          <w:fldChar w:fldCharType="separate"/>
        </w:r>
        <w:r w:rsidR="002B1FFB">
          <w:rPr>
            <w:noProof/>
            <w:webHidden/>
          </w:rPr>
          <w:t>2</w:t>
        </w:r>
        <w:r w:rsidR="002B1FFB">
          <w:rPr>
            <w:noProof/>
            <w:webHidden/>
          </w:rPr>
          <w:fldChar w:fldCharType="end"/>
        </w:r>
      </w:hyperlink>
    </w:p>
    <w:p w:rsidR="002B1FFB" w:rsidRDefault="002B1FFB">
      <w:pPr>
        <w:pStyle w:val="TOC1"/>
        <w:tabs>
          <w:tab w:val="left" w:pos="440"/>
          <w:tab w:val="right" w:leader="dot" w:pos="9350"/>
        </w:tabs>
        <w:rPr>
          <w:rFonts w:eastAsiaTheme="minorEastAsia"/>
          <w:noProof/>
        </w:rPr>
      </w:pPr>
      <w:hyperlink w:anchor="_Toc12559582" w:history="1">
        <w:r w:rsidRPr="00276238">
          <w:rPr>
            <w:rStyle w:val="Hyperlink"/>
            <w:noProof/>
          </w:rPr>
          <w:t>2.</w:t>
        </w:r>
        <w:r>
          <w:rPr>
            <w:rFonts w:eastAsiaTheme="minorEastAsia"/>
            <w:noProof/>
          </w:rPr>
          <w:tab/>
        </w:r>
        <w:r w:rsidRPr="00276238">
          <w:rPr>
            <w:rStyle w:val="Hyperlink"/>
            <w:noProof/>
          </w:rPr>
          <w:t>Data (Week 1)</w:t>
        </w:r>
        <w:r>
          <w:rPr>
            <w:noProof/>
            <w:webHidden/>
          </w:rPr>
          <w:tab/>
        </w:r>
        <w:r>
          <w:rPr>
            <w:noProof/>
            <w:webHidden/>
          </w:rPr>
          <w:fldChar w:fldCharType="begin"/>
        </w:r>
        <w:r>
          <w:rPr>
            <w:noProof/>
            <w:webHidden/>
          </w:rPr>
          <w:instrText xml:space="preserve"> PAGEREF _Toc12559582 \h </w:instrText>
        </w:r>
        <w:r>
          <w:rPr>
            <w:noProof/>
            <w:webHidden/>
          </w:rPr>
        </w:r>
        <w:r>
          <w:rPr>
            <w:noProof/>
            <w:webHidden/>
          </w:rPr>
          <w:fldChar w:fldCharType="separate"/>
        </w:r>
        <w:r>
          <w:rPr>
            <w:noProof/>
            <w:webHidden/>
          </w:rPr>
          <w:t>2</w:t>
        </w:r>
        <w:r>
          <w:rPr>
            <w:noProof/>
            <w:webHidden/>
          </w:rPr>
          <w:fldChar w:fldCharType="end"/>
        </w:r>
      </w:hyperlink>
    </w:p>
    <w:p w:rsidR="002B1FFB" w:rsidRDefault="002B1FFB">
      <w:pPr>
        <w:pStyle w:val="TOC2"/>
        <w:tabs>
          <w:tab w:val="left" w:pos="880"/>
          <w:tab w:val="right" w:leader="dot" w:pos="9350"/>
        </w:tabs>
        <w:rPr>
          <w:rFonts w:eastAsiaTheme="minorEastAsia"/>
          <w:noProof/>
        </w:rPr>
      </w:pPr>
      <w:hyperlink w:anchor="_Toc12559583" w:history="1">
        <w:r w:rsidRPr="00276238">
          <w:rPr>
            <w:rStyle w:val="Hyperlink"/>
            <w:noProof/>
          </w:rPr>
          <w:t>2.1.</w:t>
        </w:r>
        <w:r>
          <w:rPr>
            <w:rFonts w:eastAsiaTheme="minorEastAsia"/>
            <w:noProof/>
          </w:rPr>
          <w:tab/>
        </w:r>
        <w:r w:rsidRPr="00276238">
          <w:rPr>
            <w:rStyle w:val="Hyperlink"/>
            <w:noProof/>
          </w:rPr>
          <w:t>Income Data</w:t>
        </w:r>
        <w:r>
          <w:rPr>
            <w:noProof/>
            <w:webHidden/>
          </w:rPr>
          <w:tab/>
        </w:r>
        <w:r>
          <w:rPr>
            <w:noProof/>
            <w:webHidden/>
          </w:rPr>
          <w:fldChar w:fldCharType="begin"/>
        </w:r>
        <w:r>
          <w:rPr>
            <w:noProof/>
            <w:webHidden/>
          </w:rPr>
          <w:instrText xml:space="preserve"> PAGEREF _Toc12559583 \h </w:instrText>
        </w:r>
        <w:r>
          <w:rPr>
            <w:noProof/>
            <w:webHidden/>
          </w:rPr>
        </w:r>
        <w:r>
          <w:rPr>
            <w:noProof/>
            <w:webHidden/>
          </w:rPr>
          <w:fldChar w:fldCharType="separate"/>
        </w:r>
        <w:r>
          <w:rPr>
            <w:noProof/>
            <w:webHidden/>
          </w:rPr>
          <w:t>3</w:t>
        </w:r>
        <w:r>
          <w:rPr>
            <w:noProof/>
            <w:webHidden/>
          </w:rPr>
          <w:fldChar w:fldCharType="end"/>
        </w:r>
      </w:hyperlink>
    </w:p>
    <w:p w:rsidR="002B1FFB" w:rsidRDefault="002B1FFB">
      <w:pPr>
        <w:pStyle w:val="TOC2"/>
        <w:tabs>
          <w:tab w:val="left" w:pos="880"/>
          <w:tab w:val="right" w:leader="dot" w:pos="9350"/>
        </w:tabs>
        <w:rPr>
          <w:rFonts w:eastAsiaTheme="minorEastAsia"/>
          <w:noProof/>
        </w:rPr>
      </w:pPr>
      <w:hyperlink w:anchor="_Toc12559584" w:history="1">
        <w:r w:rsidRPr="00276238">
          <w:rPr>
            <w:rStyle w:val="Hyperlink"/>
            <w:noProof/>
          </w:rPr>
          <w:t>2.2.</w:t>
        </w:r>
        <w:r>
          <w:rPr>
            <w:rFonts w:eastAsiaTheme="minorEastAsia"/>
            <w:noProof/>
          </w:rPr>
          <w:tab/>
        </w:r>
        <w:r w:rsidRPr="00276238">
          <w:rPr>
            <w:rStyle w:val="Hyperlink"/>
            <w:noProof/>
          </w:rPr>
          <w:t>Geographic Data</w:t>
        </w:r>
        <w:r>
          <w:rPr>
            <w:noProof/>
            <w:webHidden/>
          </w:rPr>
          <w:tab/>
        </w:r>
        <w:r>
          <w:rPr>
            <w:noProof/>
            <w:webHidden/>
          </w:rPr>
          <w:fldChar w:fldCharType="begin"/>
        </w:r>
        <w:r>
          <w:rPr>
            <w:noProof/>
            <w:webHidden/>
          </w:rPr>
          <w:instrText xml:space="preserve"> PAGEREF _Toc12559584 \h </w:instrText>
        </w:r>
        <w:r>
          <w:rPr>
            <w:noProof/>
            <w:webHidden/>
          </w:rPr>
        </w:r>
        <w:r>
          <w:rPr>
            <w:noProof/>
            <w:webHidden/>
          </w:rPr>
          <w:fldChar w:fldCharType="separate"/>
        </w:r>
        <w:r>
          <w:rPr>
            <w:noProof/>
            <w:webHidden/>
          </w:rPr>
          <w:t>3</w:t>
        </w:r>
        <w:r>
          <w:rPr>
            <w:noProof/>
            <w:webHidden/>
          </w:rPr>
          <w:fldChar w:fldCharType="end"/>
        </w:r>
      </w:hyperlink>
    </w:p>
    <w:p w:rsidR="002B1FFB" w:rsidRDefault="002B1FFB">
      <w:pPr>
        <w:pStyle w:val="TOC2"/>
        <w:tabs>
          <w:tab w:val="left" w:pos="880"/>
          <w:tab w:val="right" w:leader="dot" w:pos="9350"/>
        </w:tabs>
        <w:rPr>
          <w:rFonts w:eastAsiaTheme="minorEastAsia"/>
          <w:noProof/>
        </w:rPr>
      </w:pPr>
      <w:hyperlink w:anchor="_Toc12559585" w:history="1">
        <w:r w:rsidRPr="00276238">
          <w:rPr>
            <w:rStyle w:val="Hyperlink"/>
            <w:noProof/>
          </w:rPr>
          <w:t>2.3.</w:t>
        </w:r>
        <w:r>
          <w:rPr>
            <w:rFonts w:eastAsiaTheme="minorEastAsia"/>
            <w:noProof/>
          </w:rPr>
          <w:tab/>
        </w:r>
        <w:r w:rsidRPr="00276238">
          <w:rPr>
            <w:rStyle w:val="Hyperlink"/>
            <w:noProof/>
          </w:rPr>
          <w:t>Venue Data</w:t>
        </w:r>
        <w:r>
          <w:rPr>
            <w:noProof/>
            <w:webHidden/>
          </w:rPr>
          <w:tab/>
        </w:r>
        <w:r>
          <w:rPr>
            <w:noProof/>
            <w:webHidden/>
          </w:rPr>
          <w:fldChar w:fldCharType="begin"/>
        </w:r>
        <w:r>
          <w:rPr>
            <w:noProof/>
            <w:webHidden/>
          </w:rPr>
          <w:instrText xml:space="preserve"> PAGEREF _Toc12559585 \h </w:instrText>
        </w:r>
        <w:r>
          <w:rPr>
            <w:noProof/>
            <w:webHidden/>
          </w:rPr>
        </w:r>
        <w:r>
          <w:rPr>
            <w:noProof/>
            <w:webHidden/>
          </w:rPr>
          <w:fldChar w:fldCharType="separate"/>
        </w:r>
        <w:r>
          <w:rPr>
            <w:noProof/>
            <w:webHidden/>
          </w:rPr>
          <w:t>4</w:t>
        </w:r>
        <w:r>
          <w:rPr>
            <w:noProof/>
            <w:webHidden/>
          </w:rPr>
          <w:fldChar w:fldCharType="end"/>
        </w:r>
      </w:hyperlink>
    </w:p>
    <w:p w:rsidR="002B1FFB" w:rsidRDefault="002B1FFB">
      <w:pPr>
        <w:pStyle w:val="TOC1"/>
        <w:tabs>
          <w:tab w:val="left" w:pos="440"/>
          <w:tab w:val="right" w:leader="dot" w:pos="9350"/>
        </w:tabs>
        <w:rPr>
          <w:rFonts w:eastAsiaTheme="minorEastAsia"/>
          <w:noProof/>
        </w:rPr>
      </w:pPr>
      <w:hyperlink w:anchor="_Toc12559586" w:history="1">
        <w:r w:rsidRPr="00276238">
          <w:rPr>
            <w:rStyle w:val="Hyperlink"/>
            <w:noProof/>
          </w:rPr>
          <w:t>3.</w:t>
        </w:r>
        <w:r>
          <w:rPr>
            <w:rFonts w:eastAsiaTheme="minorEastAsia"/>
            <w:noProof/>
          </w:rPr>
          <w:tab/>
        </w:r>
        <w:r w:rsidRPr="00276238">
          <w:rPr>
            <w:rStyle w:val="Hyperlink"/>
            <w:noProof/>
          </w:rPr>
          <w:t>Methodology (Week 2)</w:t>
        </w:r>
        <w:r>
          <w:rPr>
            <w:noProof/>
            <w:webHidden/>
          </w:rPr>
          <w:tab/>
        </w:r>
        <w:r>
          <w:rPr>
            <w:noProof/>
            <w:webHidden/>
          </w:rPr>
          <w:fldChar w:fldCharType="begin"/>
        </w:r>
        <w:r>
          <w:rPr>
            <w:noProof/>
            <w:webHidden/>
          </w:rPr>
          <w:instrText xml:space="preserve"> PAGEREF _Toc12559586 \h </w:instrText>
        </w:r>
        <w:r>
          <w:rPr>
            <w:noProof/>
            <w:webHidden/>
          </w:rPr>
        </w:r>
        <w:r>
          <w:rPr>
            <w:noProof/>
            <w:webHidden/>
          </w:rPr>
          <w:fldChar w:fldCharType="separate"/>
        </w:r>
        <w:r>
          <w:rPr>
            <w:noProof/>
            <w:webHidden/>
          </w:rPr>
          <w:t>4</w:t>
        </w:r>
        <w:r>
          <w:rPr>
            <w:noProof/>
            <w:webHidden/>
          </w:rPr>
          <w:fldChar w:fldCharType="end"/>
        </w:r>
      </w:hyperlink>
    </w:p>
    <w:p w:rsidR="002B1FFB" w:rsidRDefault="002B1FFB">
      <w:pPr>
        <w:pStyle w:val="TOC1"/>
        <w:tabs>
          <w:tab w:val="left" w:pos="440"/>
          <w:tab w:val="right" w:leader="dot" w:pos="9350"/>
        </w:tabs>
        <w:rPr>
          <w:rFonts w:eastAsiaTheme="minorEastAsia"/>
          <w:noProof/>
        </w:rPr>
      </w:pPr>
      <w:hyperlink w:anchor="_Toc12559587" w:history="1">
        <w:r w:rsidRPr="00276238">
          <w:rPr>
            <w:rStyle w:val="Hyperlink"/>
            <w:noProof/>
          </w:rPr>
          <w:t>4.</w:t>
        </w:r>
        <w:r>
          <w:rPr>
            <w:rFonts w:eastAsiaTheme="minorEastAsia"/>
            <w:noProof/>
          </w:rPr>
          <w:tab/>
        </w:r>
        <w:r w:rsidRPr="00276238">
          <w:rPr>
            <w:rStyle w:val="Hyperlink"/>
            <w:noProof/>
          </w:rPr>
          <w:t>Results (Week 2)</w:t>
        </w:r>
        <w:r>
          <w:rPr>
            <w:noProof/>
            <w:webHidden/>
          </w:rPr>
          <w:tab/>
        </w:r>
        <w:r>
          <w:rPr>
            <w:noProof/>
            <w:webHidden/>
          </w:rPr>
          <w:fldChar w:fldCharType="begin"/>
        </w:r>
        <w:r>
          <w:rPr>
            <w:noProof/>
            <w:webHidden/>
          </w:rPr>
          <w:instrText xml:space="preserve"> PAGEREF _Toc12559587 \h </w:instrText>
        </w:r>
        <w:r>
          <w:rPr>
            <w:noProof/>
            <w:webHidden/>
          </w:rPr>
        </w:r>
        <w:r>
          <w:rPr>
            <w:noProof/>
            <w:webHidden/>
          </w:rPr>
          <w:fldChar w:fldCharType="separate"/>
        </w:r>
        <w:r>
          <w:rPr>
            <w:noProof/>
            <w:webHidden/>
          </w:rPr>
          <w:t>4</w:t>
        </w:r>
        <w:r>
          <w:rPr>
            <w:noProof/>
            <w:webHidden/>
          </w:rPr>
          <w:fldChar w:fldCharType="end"/>
        </w:r>
      </w:hyperlink>
    </w:p>
    <w:p w:rsidR="002B1FFB" w:rsidRDefault="002B1FFB">
      <w:pPr>
        <w:pStyle w:val="TOC1"/>
        <w:tabs>
          <w:tab w:val="left" w:pos="440"/>
          <w:tab w:val="right" w:leader="dot" w:pos="9350"/>
        </w:tabs>
        <w:rPr>
          <w:rFonts w:eastAsiaTheme="minorEastAsia"/>
          <w:noProof/>
        </w:rPr>
      </w:pPr>
      <w:hyperlink w:anchor="_Toc12559588" w:history="1">
        <w:r w:rsidRPr="00276238">
          <w:rPr>
            <w:rStyle w:val="Hyperlink"/>
            <w:noProof/>
          </w:rPr>
          <w:t>5.</w:t>
        </w:r>
        <w:r>
          <w:rPr>
            <w:rFonts w:eastAsiaTheme="minorEastAsia"/>
            <w:noProof/>
          </w:rPr>
          <w:tab/>
        </w:r>
        <w:r w:rsidRPr="00276238">
          <w:rPr>
            <w:rStyle w:val="Hyperlink"/>
            <w:noProof/>
          </w:rPr>
          <w:t>Discussion (Week 2)</w:t>
        </w:r>
        <w:r>
          <w:rPr>
            <w:noProof/>
            <w:webHidden/>
          </w:rPr>
          <w:tab/>
        </w:r>
        <w:r>
          <w:rPr>
            <w:noProof/>
            <w:webHidden/>
          </w:rPr>
          <w:fldChar w:fldCharType="begin"/>
        </w:r>
        <w:r>
          <w:rPr>
            <w:noProof/>
            <w:webHidden/>
          </w:rPr>
          <w:instrText xml:space="preserve"> PAGEREF _Toc12559588 \h </w:instrText>
        </w:r>
        <w:r>
          <w:rPr>
            <w:noProof/>
            <w:webHidden/>
          </w:rPr>
        </w:r>
        <w:r>
          <w:rPr>
            <w:noProof/>
            <w:webHidden/>
          </w:rPr>
          <w:fldChar w:fldCharType="separate"/>
        </w:r>
        <w:r>
          <w:rPr>
            <w:noProof/>
            <w:webHidden/>
          </w:rPr>
          <w:t>4</w:t>
        </w:r>
        <w:r>
          <w:rPr>
            <w:noProof/>
            <w:webHidden/>
          </w:rPr>
          <w:fldChar w:fldCharType="end"/>
        </w:r>
      </w:hyperlink>
    </w:p>
    <w:p w:rsidR="002B1FFB" w:rsidRDefault="002B1FFB">
      <w:pPr>
        <w:pStyle w:val="TOC1"/>
        <w:tabs>
          <w:tab w:val="left" w:pos="440"/>
          <w:tab w:val="right" w:leader="dot" w:pos="9350"/>
        </w:tabs>
        <w:rPr>
          <w:rFonts w:eastAsiaTheme="minorEastAsia"/>
          <w:noProof/>
        </w:rPr>
      </w:pPr>
      <w:hyperlink w:anchor="_Toc12559589" w:history="1">
        <w:r w:rsidRPr="00276238">
          <w:rPr>
            <w:rStyle w:val="Hyperlink"/>
            <w:noProof/>
          </w:rPr>
          <w:t>6.</w:t>
        </w:r>
        <w:r>
          <w:rPr>
            <w:rFonts w:eastAsiaTheme="minorEastAsia"/>
            <w:noProof/>
          </w:rPr>
          <w:tab/>
        </w:r>
        <w:r w:rsidRPr="00276238">
          <w:rPr>
            <w:rStyle w:val="Hyperlink"/>
            <w:noProof/>
          </w:rPr>
          <w:t>Conclusion (Week 2)</w:t>
        </w:r>
        <w:r>
          <w:rPr>
            <w:noProof/>
            <w:webHidden/>
          </w:rPr>
          <w:tab/>
        </w:r>
        <w:r>
          <w:rPr>
            <w:noProof/>
            <w:webHidden/>
          </w:rPr>
          <w:fldChar w:fldCharType="begin"/>
        </w:r>
        <w:r>
          <w:rPr>
            <w:noProof/>
            <w:webHidden/>
          </w:rPr>
          <w:instrText xml:space="preserve"> PAGEREF _Toc12559589 \h </w:instrText>
        </w:r>
        <w:r>
          <w:rPr>
            <w:noProof/>
            <w:webHidden/>
          </w:rPr>
        </w:r>
        <w:r>
          <w:rPr>
            <w:noProof/>
            <w:webHidden/>
          </w:rPr>
          <w:fldChar w:fldCharType="separate"/>
        </w:r>
        <w:r>
          <w:rPr>
            <w:noProof/>
            <w:webHidden/>
          </w:rPr>
          <w:t>4</w:t>
        </w:r>
        <w:r>
          <w:rPr>
            <w:noProof/>
            <w:webHidden/>
          </w:rPr>
          <w:fldChar w:fldCharType="end"/>
        </w:r>
      </w:hyperlink>
    </w:p>
    <w:p w:rsidR="002B1FFB" w:rsidRDefault="002B1FFB">
      <w:pPr>
        <w:pStyle w:val="TOC1"/>
        <w:tabs>
          <w:tab w:val="left" w:pos="440"/>
          <w:tab w:val="right" w:leader="dot" w:pos="9350"/>
        </w:tabs>
        <w:rPr>
          <w:rFonts w:eastAsiaTheme="minorEastAsia"/>
          <w:noProof/>
        </w:rPr>
      </w:pPr>
      <w:hyperlink w:anchor="_Toc12559590" w:history="1">
        <w:r w:rsidRPr="00276238">
          <w:rPr>
            <w:rStyle w:val="Hyperlink"/>
            <w:noProof/>
          </w:rPr>
          <w:t>7.</w:t>
        </w:r>
        <w:r>
          <w:rPr>
            <w:rFonts w:eastAsiaTheme="minorEastAsia"/>
            <w:noProof/>
          </w:rPr>
          <w:tab/>
        </w:r>
        <w:r w:rsidRPr="00276238">
          <w:rPr>
            <w:rStyle w:val="Hyperlink"/>
            <w:noProof/>
          </w:rPr>
          <w:t>References (Week 2)</w:t>
        </w:r>
        <w:r>
          <w:rPr>
            <w:noProof/>
            <w:webHidden/>
          </w:rPr>
          <w:tab/>
        </w:r>
        <w:r>
          <w:rPr>
            <w:noProof/>
            <w:webHidden/>
          </w:rPr>
          <w:fldChar w:fldCharType="begin"/>
        </w:r>
        <w:r>
          <w:rPr>
            <w:noProof/>
            <w:webHidden/>
          </w:rPr>
          <w:instrText xml:space="preserve"> PAGEREF _Toc12559590 \h </w:instrText>
        </w:r>
        <w:r>
          <w:rPr>
            <w:noProof/>
            <w:webHidden/>
          </w:rPr>
        </w:r>
        <w:r>
          <w:rPr>
            <w:noProof/>
            <w:webHidden/>
          </w:rPr>
          <w:fldChar w:fldCharType="separate"/>
        </w:r>
        <w:r>
          <w:rPr>
            <w:noProof/>
            <w:webHidden/>
          </w:rPr>
          <w:t>4</w:t>
        </w:r>
        <w:r>
          <w:rPr>
            <w:noProof/>
            <w:webHidden/>
          </w:rPr>
          <w:fldChar w:fldCharType="end"/>
        </w:r>
      </w:hyperlink>
    </w:p>
    <w:p w:rsidR="002B1FFB" w:rsidRDefault="002B1FFB">
      <w:pPr>
        <w:pStyle w:val="TOC1"/>
        <w:tabs>
          <w:tab w:val="left" w:pos="440"/>
          <w:tab w:val="right" w:leader="dot" w:pos="9350"/>
        </w:tabs>
        <w:rPr>
          <w:rFonts w:eastAsiaTheme="minorEastAsia"/>
          <w:noProof/>
        </w:rPr>
      </w:pPr>
      <w:hyperlink w:anchor="_Toc12559591" w:history="1">
        <w:r w:rsidRPr="00276238">
          <w:rPr>
            <w:rStyle w:val="Hyperlink"/>
            <w:noProof/>
          </w:rPr>
          <w:t>8.</w:t>
        </w:r>
        <w:r>
          <w:rPr>
            <w:rFonts w:eastAsiaTheme="minorEastAsia"/>
            <w:noProof/>
          </w:rPr>
          <w:tab/>
        </w:r>
        <w:r w:rsidRPr="00276238">
          <w:rPr>
            <w:rStyle w:val="Hyperlink"/>
            <w:noProof/>
          </w:rPr>
          <w:t>Acknowledgements (Week 2)</w:t>
        </w:r>
        <w:r>
          <w:rPr>
            <w:noProof/>
            <w:webHidden/>
          </w:rPr>
          <w:tab/>
        </w:r>
        <w:r>
          <w:rPr>
            <w:noProof/>
            <w:webHidden/>
          </w:rPr>
          <w:fldChar w:fldCharType="begin"/>
        </w:r>
        <w:r>
          <w:rPr>
            <w:noProof/>
            <w:webHidden/>
          </w:rPr>
          <w:instrText xml:space="preserve"> PAGEREF _Toc12559591 \h </w:instrText>
        </w:r>
        <w:r>
          <w:rPr>
            <w:noProof/>
            <w:webHidden/>
          </w:rPr>
        </w:r>
        <w:r>
          <w:rPr>
            <w:noProof/>
            <w:webHidden/>
          </w:rPr>
          <w:fldChar w:fldCharType="separate"/>
        </w:r>
        <w:r>
          <w:rPr>
            <w:noProof/>
            <w:webHidden/>
          </w:rPr>
          <w:t>5</w:t>
        </w:r>
        <w:r>
          <w:rPr>
            <w:noProof/>
            <w:webHidden/>
          </w:rPr>
          <w:fldChar w:fldCharType="end"/>
        </w:r>
      </w:hyperlink>
    </w:p>
    <w:p w:rsidR="002B1FFB" w:rsidRDefault="002B1FFB">
      <w:pPr>
        <w:pStyle w:val="TOC1"/>
        <w:tabs>
          <w:tab w:val="left" w:pos="440"/>
          <w:tab w:val="right" w:leader="dot" w:pos="9350"/>
        </w:tabs>
        <w:rPr>
          <w:rFonts w:eastAsiaTheme="minorEastAsia"/>
          <w:noProof/>
        </w:rPr>
      </w:pPr>
      <w:hyperlink w:anchor="_Toc12559592" w:history="1">
        <w:r w:rsidRPr="00276238">
          <w:rPr>
            <w:rStyle w:val="Hyperlink"/>
            <w:noProof/>
          </w:rPr>
          <w:t>9.</w:t>
        </w:r>
        <w:r>
          <w:rPr>
            <w:rFonts w:eastAsiaTheme="minorEastAsia"/>
            <w:noProof/>
          </w:rPr>
          <w:tab/>
        </w:r>
        <w:r w:rsidRPr="00276238">
          <w:rPr>
            <w:rStyle w:val="Hyperlink"/>
            <w:noProof/>
          </w:rPr>
          <w:t>Appendix A (Week 2)</w:t>
        </w:r>
        <w:r>
          <w:rPr>
            <w:noProof/>
            <w:webHidden/>
          </w:rPr>
          <w:tab/>
        </w:r>
        <w:r>
          <w:rPr>
            <w:noProof/>
            <w:webHidden/>
          </w:rPr>
          <w:fldChar w:fldCharType="begin"/>
        </w:r>
        <w:r>
          <w:rPr>
            <w:noProof/>
            <w:webHidden/>
          </w:rPr>
          <w:instrText xml:space="preserve"> PAGEREF _Toc12559592 \h </w:instrText>
        </w:r>
        <w:r>
          <w:rPr>
            <w:noProof/>
            <w:webHidden/>
          </w:rPr>
        </w:r>
        <w:r>
          <w:rPr>
            <w:noProof/>
            <w:webHidden/>
          </w:rPr>
          <w:fldChar w:fldCharType="separate"/>
        </w:r>
        <w:r>
          <w:rPr>
            <w:noProof/>
            <w:webHidden/>
          </w:rPr>
          <w:t>5</w:t>
        </w:r>
        <w:r>
          <w:rPr>
            <w:noProof/>
            <w:webHidden/>
          </w:rPr>
          <w:fldChar w:fldCharType="end"/>
        </w:r>
      </w:hyperlink>
    </w:p>
    <w:p w:rsidR="002B1FFB" w:rsidRDefault="002B1FFB">
      <w:pPr>
        <w:pStyle w:val="TOC1"/>
        <w:tabs>
          <w:tab w:val="left" w:pos="660"/>
          <w:tab w:val="right" w:leader="dot" w:pos="9350"/>
        </w:tabs>
        <w:rPr>
          <w:rFonts w:eastAsiaTheme="minorEastAsia"/>
          <w:noProof/>
        </w:rPr>
      </w:pPr>
      <w:hyperlink w:anchor="_Toc12559593" w:history="1">
        <w:r w:rsidRPr="00276238">
          <w:rPr>
            <w:rStyle w:val="Hyperlink"/>
            <w:noProof/>
          </w:rPr>
          <w:t>10.</w:t>
        </w:r>
        <w:r>
          <w:rPr>
            <w:rFonts w:eastAsiaTheme="minorEastAsia"/>
            <w:noProof/>
          </w:rPr>
          <w:tab/>
        </w:r>
        <w:r w:rsidRPr="00276238">
          <w:rPr>
            <w:rStyle w:val="Hyperlink"/>
            <w:noProof/>
          </w:rPr>
          <w:t>Appendix B (Week 2)</w:t>
        </w:r>
        <w:r>
          <w:rPr>
            <w:noProof/>
            <w:webHidden/>
          </w:rPr>
          <w:tab/>
        </w:r>
        <w:r>
          <w:rPr>
            <w:noProof/>
            <w:webHidden/>
          </w:rPr>
          <w:fldChar w:fldCharType="begin"/>
        </w:r>
        <w:r>
          <w:rPr>
            <w:noProof/>
            <w:webHidden/>
          </w:rPr>
          <w:instrText xml:space="preserve"> PAGEREF _Toc12559593 \h </w:instrText>
        </w:r>
        <w:r>
          <w:rPr>
            <w:noProof/>
            <w:webHidden/>
          </w:rPr>
        </w:r>
        <w:r>
          <w:rPr>
            <w:noProof/>
            <w:webHidden/>
          </w:rPr>
          <w:fldChar w:fldCharType="separate"/>
        </w:r>
        <w:r>
          <w:rPr>
            <w:noProof/>
            <w:webHidden/>
          </w:rPr>
          <w:t>5</w:t>
        </w:r>
        <w:r>
          <w:rPr>
            <w:noProof/>
            <w:webHidden/>
          </w:rPr>
          <w:fldChar w:fldCharType="end"/>
        </w:r>
      </w:hyperlink>
    </w:p>
    <w:p w:rsidR="007F2F79" w:rsidRPr="007F2F79" w:rsidRDefault="007F2F79" w:rsidP="007F2F79">
      <w:r>
        <w:fldChar w:fldCharType="end"/>
      </w:r>
    </w:p>
    <w:p w:rsidR="007F2F79" w:rsidRDefault="007F2F79" w:rsidP="005E26D2">
      <w:pPr>
        <w:pStyle w:val="Heading2Numbered"/>
      </w:pPr>
      <w:bookmarkStart w:id="1" w:name="_Toc12559581"/>
      <w:r w:rsidRPr="005E26D2">
        <w:t>Introduction</w:t>
      </w:r>
      <w:r w:rsidR="00C25A34">
        <w:t xml:space="preserve"> (Week 1)</w:t>
      </w:r>
      <w:bookmarkEnd w:id="1"/>
    </w:p>
    <w:p w:rsidR="00821977" w:rsidRDefault="00821977" w:rsidP="007F2F79">
      <w:r>
        <w:t>Houston is the fourth largest city in the United States and is noted for its diversity.  Not only is it culturally and ethnically diverse as a whole, it’s someone unusual among large cities in its diversity within communities.  Houston is also known as a city where dining out at restaurants is part of the evening entertainment.  But perhaps most of all, Houston is known as an oilfield city, the chief technical center for a global oil industry (Gilmer).  This means it has a large number of highly-paid executives and engineers that can drive a high-end restaurant industry.</w:t>
      </w:r>
    </w:p>
    <w:p w:rsidR="00821977" w:rsidRPr="007F2F79" w:rsidRDefault="00821977" w:rsidP="007F2F79">
      <w:r>
        <w:t>If you wanted to open a high-end restaurant in Houston, what kind would you choose and where would you place it?</w:t>
      </w:r>
      <w:r w:rsidR="00B30C8E">
        <w:t xml:space="preserve">  To answer this question, we can look at the income distribution across Houston to find the zip codes where the wealthy have chosen to reside, and we can look at the types of restaurants already within easy reach.  By looking at what’s been historically popular in wealthy neighborhoods, we can find underserved wealthy areas to target.</w:t>
      </w:r>
    </w:p>
    <w:p w:rsidR="007F2F79" w:rsidRDefault="007F2F79" w:rsidP="003E36FC">
      <w:pPr>
        <w:pStyle w:val="Heading2Numbered"/>
      </w:pPr>
      <w:bookmarkStart w:id="2" w:name="_Toc12559582"/>
      <w:r>
        <w:t>Data</w:t>
      </w:r>
      <w:r w:rsidR="00C25A34">
        <w:t xml:space="preserve"> (Week 1)</w:t>
      </w:r>
      <w:bookmarkEnd w:id="2"/>
    </w:p>
    <w:p w:rsidR="00B30C8E" w:rsidRDefault="00B30C8E" w:rsidP="00B30C8E">
      <w:r>
        <w:t xml:space="preserve">The main sources of data we’ll look at to determine where to open a high-end restaurant are </w:t>
      </w:r>
      <w:r w:rsidRPr="00B30C8E">
        <w:rPr>
          <w:i/>
        </w:rPr>
        <w:t>income</w:t>
      </w:r>
      <w:r>
        <w:t xml:space="preserve"> and</w:t>
      </w:r>
      <w:r w:rsidRPr="00B30C8E">
        <w:rPr>
          <w:i/>
        </w:rPr>
        <w:t xml:space="preserve"> existing offerings</w:t>
      </w:r>
      <w:r>
        <w:t>.  The income distributions can point us toward the neighborhoods we should focus our efforts, and an analysis of existing offerings can show us what types are over- or under-serving those neighborhoods.</w:t>
      </w:r>
    </w:p>
    <w:p w:rsidR="00B30C8E" w:rsidRDefault="00B30C8E" w:rsidP="00B30C8E">
      <w:r>
        <w:t>We will focus mainly on the area inside Beltway 8, or the Sam Houston Tollway, to define rough city limits of Houston</w:t>
      </w:r>
      <w:r w:rsidR="002618FE">
        <w:t>.  We will limit</w:t>
      </w:r>
      <w:r>
        <w:t xml:space="preserve"> the scope of the search</w:t>
      </w:r>
      <w:r w:rsidR="002618FE">
        <w:t xml:space="preserve"> to this area plus some of the oilfield-heavy areas on the West and Southwest</w:t>
      </w:r>
      <w:r>
        <w:t>.  The Houston metropolitan area sprawls through neighboring cities in all directions, including the Woodlands to the north, Tomball to the southwest, Katy to the west, Sugar Land to the southwest, and Pearland to the south</w:t>
      </w:r>
      <w:r w:rsidR="00CE4540">
        <w:t>.</w:t>
      </w:r>
      <w:r w:rsidR="00540D09">
        <w:t xml:space="preserve">  </w:t>
      </w:r>
      <w:r w:rsidR="000D6F97">
        <w:t>We will use geographic data to narrow this search.</w:t>
      </w:r>
      <w:r w:rsidR="002618FE">
        <w:t xml:space="preserve">  </w:t>
      </w:r>
    </w:p>
    <w:p w:rsidR="00431523" w:rsidRDefault="00431523" w:rsidP="00B30C8E">
      <w:r>
        <w:lastRenderedPageBreak/>
        <w:t>The existing offerings are limited in scope to restaurant types already found within Houston.  These restaurants were included based on proximity to zip codes, with no use of ratings, price, popularity, or any other metrics.  The purpose of the venue analysis was to gauge relative interest of restaurant categories rather than specific restaurants.</w:t>
      </w:r>
    </w:p>
    <w:p w:rsidR="00017EA1" w:rsidRPr="00B30C8E" w:rsidRDefault="00017EA1" w:rsidP="00B30C8E">
      <w:r>
        <w:t>After income and geographic data are combined, a clustering algorithm can be used to narrow the zip codes of interest to those associated with high earners.  Then a regression analysis associating restaurant categories with zip codes over time can be used to determine outliers from the trend – representing possible opportunities.</w:t>
      </w:r>
    </w:p>
    <w:p w:rsidR="00C25A34" w:rsidRDefault="00B30C8E" w:rsidP="00497A98">
      <w:pPr>
        <w:pStyle w:val="Heading3Numbered"/>
      </w:pPr>
      <w:bookmarkStart w:id="3" w:name="_Toc12559583"/>
      <w:r>
        <w:t>Income</w:t>
      </w:r>
      <w:r w:rsidR="000D6F97">
        <w:t xml:space="preserve"> Data</w:t>
      </w:r>
      <w:bookmarkEnd w:id="3"/>
    </w:p>
    <w:p w:rsidR="00600D7B" w:rsidRDefault="00600D7B" w:rsidP="00600D7B">
      <w:r>
        <w:t>The income data used in this analysis came from income tax return summaries compiled by the United States Internal Revenue Service (</w:t>
      </w:r>
      <w:r w:rsidRPr="00600D7B">
        <w:t>SOI Tax Stats</w:t>
      </w:r>
      <w:r>
        <w:t xml:space="preserve">…).  Data was available through 2016 tax year, so we will focus on the five-year period stretching from 2012 to 2016.  </w:t>
      </w:r>
    </w:p>
    <w:p w:rsidR="00600D7B" w:rsidRDefault="00600D7B" w:rsidP="00600D7B">
      <w:r>
        <w:t xml:space="preserve">The data includes many different categories associated with federal income tax returns, but we will focus on several that were available through </w:t>
      </w:r>
      <w:r w:rsidR="002E0E53">
        <w:t xml:space="preserve">all of the years in question that seemed relevant to the task at hand.  The descriptions for each of the many columns was available from the documentation on the IRS website referenced in Section </w:t>
      </w:r>
      <w:r w:rsidR="002E0E53">
        <w:fldChar w:fldCharType="begin"/>
      </w:r>
      <w:r w:rsidR="002E0E53">
        <w:instrText xml:space="preserve"> REF _Ref6767540 \n \h </w:instrText>
      </w:r>
      <w:r w:rsidR="002E0E53">
        <w:fldChar w:fldCharType="separate"/>
      </w:r>
      <w:r w:rsidR="002E0E53">
        <w:t>7</w:t>
      </w:r>
      <w:r w:rsidR="002E0E53">
        <w:fldChar w:fldCharType="end"/>
      </w:r>
      <w:r w:rsidR="002E0E53">
        <w:t>.  We renamed these columns to a more user-friendly description.</w:t>
      </w:r>
    </w:p>
    <w:p w:rsidR="002E0E53" w:rsidRDefault="002E0E53" w:rsidP="00600D7B"/>
    <w:tbl>
      <w:tblPr>
        <w:tblStyle w:val="GridTable1Light-Accent1"/>
        <w:tblW w:w="9309" w:type="dxa"/>
        <w:tblLook w:val="04A0" w:firstRow="1" w:lastRow="0" w:firstColumn="1" w:lastColumn="0" w:noHBand="0" w:noVBand="1"/>
      </w:tblPr>
      <w:tblGrid>
        <w:gridCol w:w="1564"/>
        <w:gridCol w:w="1500"/>
        <w:gridCol w:w="2740"/>
        <w:gridCol w:w="2847"/>
        <w:gridCol w:w="658"/>
      </w:tblGrid>
      <w:tr w:rsidR="00533762" w:rsidTr="00533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3762" w:rsidRDefault="00533762" w:rsidP="00533762">
            <w:r>
              <w:t>Renamed Identifier</w:t>
            </w:r>
          </w:p>
        </w:tc>
        <w:tc>
          <w:tcPr>
            <w:tcW w:w="0" w:type="auto"/>
          </w:tcPr>
          <w:p w:rsidR="00533762" w:rsidRDefault="00533762" w:rsidP="00533762">
            <w:pPr>
              <w:cnfStyle w:val="100000000000" w:firstRow="1" w:lastRow="0" w:firstColumn="0" w:lastColumn="0" w:oddVBand="0" w:evenVBand="0" w:oddHBand="0" w:evenHBand="0" w:firstRowFirstColumn="0" w:firstRowLastColumn="0" w:lastRowFirstColumn="0" w:lastRowLastColumn="0"/>
            </w:pPr>
            <w:r>
              <w:t>Original Identifier</w:t>
            </w:r>
          </w:p>
        </w:tc>
        <w:tc>
          <w:tcPr>
            <w:tcW w:w="2740" w:type="dxa"/>
          </w:tcPr>
          <w:p w:rsidR="00533762" w:rsidRDefault="00533762" w:rsidP="00533762">
            <w:pPr>
              <w:cnfStyle w:val="100000000000" w:firstRow="1" w:lastRow="0" w:firstColumn="0" w:lastColumn="0" w:oddVBand="0" w:evenVBand="0" w:oddHBand="0" w:evenHBand="0" w:firstRowFirstColumn="0" w:firstRowLastColumn="0" w:lastRowFirstColumn="0" w:lastRowLastColumn="0"/>
            </w:pPr>
            <w:r>
              <w:t>Description</w:t>
            </w:r>
          </w:p>
        </w:tc>
        <w:tc>
          <w:tcPr>
            <w:tcW w:w="2847" w:type="dxa"/>
          </w:tcPr>
          <w:p w:rsidR="00533762" w:rsidRDefault="00533762" w:rsidP="00533762">
            <w:pPr>
              <w:cnfStyle w:val="100000000000" w:firstRow="1" w:lastRow="0" w:firstColumn="0" w:lastColumn="0" w:oddVBand="0" w:evenVBand="0" w:oddHBand="0" w:evenHBand="0" w:firstRowFirstColumn="0" w:firstRowLastColumn="0" w:lastRowFirstColumn="0" w:lastRowLastColumn="0"/>
            </w:pPr>
            <w:r>
              <w:t>Reference</w:t>
            </w:r>
          </w:p>
        </w:tc>
        <w:tc>
          <w:tcPr>
            <w:tcW w:w="0" w:type="auto"/>
          </w:tcPr>
          <w:p w:rsidR="00533762" w:rsidRDefault="00533762" w:rsidP="00533762">
            <w:pPr>
              <w:cnfStyle w:val="100000000000" w:firstRow="1" w:lastRow="0" w:firstColumn="0" w:lastColumn="0" w:oddVBand="0" w:evenVBand="0" w:oddHBand="0" w:evenHBand="0" w:firstRowFirstColumn="0" w:firstRowLastColumn="0" w:lastRowFirstColumn="0" w:lastRowLastColumn="0"/>
            </w:pPr>
            <w:r>
              <w:t>Type</w:t>
            </w:r>
          </w:p>
        </w:tc>
      </w:tr>
      <w:tr w:rsidR="00533762" w:rsidTr="00533762">
        <w:tc>
          <w:tcPr>
            <w:cnfStyle w:val="001000000000" w:firstRow="0" w:lastRow="0" w:firstColumn="1" w:lastColumn="0" w:oddVBand="0" w:evenVBand="0" w:oddHBand="0" w:evenHBand="0" w:firstRowFirstColumn="0" w:firstRowLastColumn="0" w:lastRowFirstColumn="0" w:lastRowLastColumn="0"/>
            <w:tcW w:w="0" w:type="auto"/>
          </w:tcPr>
          <w:p w:rsidR="00533762" w:rsidRDefault="00533762" w:rsidP="00533762">
            <w:r>
              <w:t>zip code</w:t>
            </w:r>
          </w:p>
        </w:tc>
        <w:tc>
          <w:tcPr>
            <w:tcW w:w="0" w:type="auto"/>
          </w:tcPr>
          <w:p w:rsidR="00533762" w:rsidRDefault="00533762" w:rsidP="00533762">
            <w:pPr>
              <w:cnfStyle w:val="000000000000" w:firstRow="0" w:lastRow="0" w:firstColumn="0" w:lastColumn="0" w:oddVBand="0" w:evenVBand="0" w:oddHBand="0" w:evenHBand="0" w:firstRowFirstColumn="0" w:firstRowLastColumn="0" w:lastRowFirstColumn="0" w:lastRowLastColumn="0"/>
            </w:pPr>
            <w:proofErr w:type="spellStart"/>
            <w:r>
              <w:t>zipcode</w:t>
            </w:r>
            <w:proofErr w:type="spellEnd"/>
          </w:p>
        </w:tc>
        <w:tc>
          <w:tcPr>
            <w:tcW w:w="2740" w:type="dxa"/>
          </w:tcPr>
          <w:p w:rsidR="00533762" w:rsidRDefault="00533762" w:rsidP="00533762">
            <w:pPr>
              <w:cnfStyle w:val="000000000000" w:firstRow="0" w:lastRow="0" w:firstColumn="0" w:lastColumn="0" w:oddVBand="0" w:evenVBand="0" w:oddHBand="0" w:evenHBand="0" w:firstRowFirstColumn="0" w:firstRowLastColumn="0" w:lastRowFirstColumn="0" w:lastRowLastColumn="0"/>
            </w:pPr>
            <w:r w:rsidRPr="004B184E">
              <w:t>5-digit Zip code</w:t>
            </w:r>
          </w:p>
        </w:tc>
        <w:tc>
          <w:tcPr>
            <w:tcW w:w="2847" w:type="dxa"/>
          </w:tcPr>
          <w:p w:rsidR="00533762" w:rsidRPr="004B184E" w:rsidRDefault="00533762" w:rsidP="00533762">
            <w:pPr>
              <w:cnfStyle w:val="000000000000" w:firstRow="0" w:lastRow="0" w:firstColumn="0" w:lastColumn="0" w:oddVBand="0" w:evenVBand="0" w:oddHBand="0" w:evenHBand="0" w:firstRowFirstColumn="0" w:firstRowLastColumn="0" w:lastRowFirstColumn="0" w:lastRowLastColumn="0"/>
            </w:pPr>
          </w:p>
        </w:tc>
        <w:tc>
          <w:tcPr>
            <w:tcW w:w="0" w:type="auto"/>
          </w:tcPr>
          <w:p w:rsidR="00533762" w:rsidRPr="004B184E" w:rsidRDefault="00533762" w:rsidP="00533762">
            <w:pPr>
              <w:cnfStyle w:val="000000000000" w:firstRow="0" w:lastRow="0" w:firstColumn="0" w:lastColumn="0" w:oddVBand="0" w:evenVBand="0" w:oddHBand="0" w:evenHBand="0" w:firstRowFirstColumn="0" w:firstRowLastColumn="0" w:lastRowFirstColumn="0" w:lastRowLastColumn="0"/>
            </w:pPr>
            <w:r>
              <w:t>Char</w:t>
            </w:r>
          </w:p>
        </w:tc>
      </w:tr>
      <w:tr w:rsidR="00533762" w:rsidTr="00533762">
        <w:tc>
          <w:tcPr>
            <w:cnfStyle w:val="001000000000" w:firstRow="0" w:lastRow="0" w:firstColumn="1" w:lastColumn="0" w:oddVBand="0" w:evenVBand="0" w:oddHBand="0" w:evenHBand="0" w:firstRowFirstColumn="0" w:firstRowLastColumn="0" w:lastRowFirstColumn="0" w:lastRowLastColumn="0"/>
            <w:tcW w:w="0" w:type="auto"/>
          </w:tcPr>
          <w:p w:rsidR="00533762" w:rsidRDefault="00533762" w:rsidP="00533762">
            <w:r>
              <w:t>income bracket</w:t>
            </w:r>
          </w:p>
        </w:tc>
        <w:tc>
          <w:tcPr>
            <w:tcW w:w="0" w:type="auto"/>
          </w:tcPr>
          <w:p w:rsidR="00533762" w:rsidRDefault="00533762" w:rsidP="00533762">
            <w:pPr>
              <w:cnfStyle w:val="000000000000" w:firstRow="0" w:lastRow="0" w:firstColumn="0" w:lastColumn="0" w:oddVBand="0" w:evenVBand="0" w:oddHBand="0" w:evenHBand="0" w:firstRowFirstColumn="0" w:firstRowLastColumn="0" w:lastRowFirstColumn="0" w:lastRowLastColumn="0"/>
            </w:pPr>
            <w:r>
              <w:t>AGI_STUB</w:t>
            </w:r>
          </w:p>
        </w:tc>
        <w:tc>
          <w:tcPr>
            <w:tcW w:w="2740" w:type="dxa"/>
          </w:tcPr>
          <w:p w:rsidR="00533762" w:rsidRDefault="00533762" w:rsidP="00533762">
            <w:pPr>
              <w:cnfStyle w:val="000000000000" w:firstRow="0" w:lastRow="0" w:firstColumn="0" w:lastColumn="0" w:oddVBand="0" w:evenVBand="0" w:oddHBand="0" w:evenHBand="0" w:firstRowFirstColumn="0" w:firstRowLastColumn="0" w:lastRowFirstColumn="0" w:lastRowLastColumn="0"/>
            </w:pPr>
            <w:r w:rsidRPr="004B184E">
              <w:t>Size of adjusted gross income</w:t>
            </w:r>
          </w:p>
        </w:tc>
        <w:tc>
          <w:tcPr>
            <w:tcW w:w="2847" w:type="dxa"/>
          </w:tcPr>
          <w:p w:rsidR="00533762" w:rsidRDefault="00533762" w:rsidP="00533762">
            <w:pPr>
              <w:cnfStyle w:val="000000000000" w:firstRow="0" w:lastRow="0" w:firstColumn="0" w:lastColumn="0" w:oddVBand="0" w:evenVBand="0" w:oddHBand="0" w:evenHBand="0" w:firstRowFirstColumn="0" w:firstRowLastColumn="0" w:lastRowFirstColumn="0" w:lastRowLastColumn="0"/>
            </w:pPr>
            <w:r>
              <w:t>1 = $1 under $25,000</w:t>
            </w:r>
          </w:p>
          <w:p w:rsidR="00533762" w:rsidRDefault="00533762" w:rsidP="00533762">
            <w:pPr>
              <w:cnfStyle w:val="000000000000" w:firstRow="0" w:lastRow="0" w:firstColumn="0" w:lastColumn="0" w:oddVBand="0" w:evenVBand="0" w:oddHBand="0" w:evenHBand="0" w:firstRowFirstColumn="0" w:firstRowLastColumn="0" w:lastRowFirstColumn="0" w:lastRowLastColumn="0"/>
            </w:pPr>
            <w:r>
              <w:t>2 = $25,000 under $50,000</w:t>
            </w:r>
          </w:p>
          <w:p w:rsidR="00533762" w:rsidRDefault="00533762" w:rsidP="00533762">
            <w:pPr>
              <w:cnfStyle w:val="000000000000" w:firstRow="0" w:lastRow="0" w:firstColumn="0" w:lastColumn="0" w:oddVBand="0" w:evenVBand="0" w:oddHBand="0" w:evenHBand="0" w:firstRowFirstColumn="0" w:firstRowLastColumn="0" w:lastRowFirstColumn="0" w:lastRowLastColumn="0"/>
            </w:pPr>
            <w:r>
              <w:t>3 = $50,000 under $75,000</w:t>
            </w:r>
          </w:p>
          <w:p w:rsidR="00533762" w:rsidRDefault="00533762" w:rsidP="00533762">
            <w:pPr>
              <w:cnfStyle w:val="000000000000" w:firstRow="0" w:lastRow="0" w:firstColumn="0" w:lastColumn="0" w:oddVBand="0" w:evenVBand="0" w:oddHBand="0" w:evenHBand="0" w:firstRowFirstColumn="0" w:firstRowLastColumn="0" w:lastRowFirstColumn="0" w:lastRowLastColumn="0"/>
            </w:pPr>
            <w:r>
              <w:t>4 = $75,000 under $100,000</w:t>
            </w:r>
          </w:p>
          <w:p w:rsidR="00533762" w:rsidRDefault="00533762" w:rsidP="00533762">
            <w:pPr>
              <w:cnfStyle w:val="000000000000" w:firstRow="0" w:lastRow="0" w:firstColumn="0" w:lastColumn="0" w:oddVBand="0" w:evenVBand="0" w:oddHBand="0" w:evenHBand="0" w:firstRowFirstColumn="0" w:firstRowLastColumn="0" w:lastRowFirstColumn="0" w:lastRowLastColumn="0"/>
            </w:pPr>
            <w:r>
              <w:t>5 = $100,000 under $200,000</w:t>
            </w:r>
          </w:p>
          <w:p w:rsidR="00533762" w:rsidRDefault="00533762" w:rsidP="00533762">
            <w:pPr>
              <w:cnfStyle w:val="000000000000" w:firstRow="0" w:lastRow="0" w:firstColumn="0" w:lastColumn="0" w:oddVBand="0" w:evenVBand="0" w:oddHBand="0" w:evenHBand="0" w:firstRowFirstColumn="0" w:firstRowLastColumn="0" w:lastRowFirstColumn="0" w:lastRowLastColumn="0"/>
            </w:pPr>
            <w:r>
              <w:t>6 = $200,000 or more</w:t>
            </w:r>
          </w:p>
        </w:tc>
        <w:tc>
          <w:tcPr>
            <w:tcW w:w="0" w:type="auto"/>
          </w:tcPr>
          <w:p w:rsidR="00533762" w:rsidRDefault="00533762" w:rsidP="00533762">
            <w:pPr>
              <w:cnfStyle w:val="000000000000" w:firstRow="0" w:lastRow="0" w:firstColumn="0" w:lastColumn="0" w:oddVBand="0" w:evenVBand="0" w:oddHBand="0" w:evenHBand="0" w:firstRowFirstColumn="0" w:firstRowLastColumn="0" w:lastRowFirstColumn="0" w:lastRowLastColumn="0"/>
            </w:pPr>
            <w:proofErr w:type="spellStart"/>
            <w:r>
              <w:t>Num</w:t>
            </w:r>
            <w:proofErr w:type="spellEnd"/>
          </w:p>
        </w:tc>
      </w:tr>
      <w:tr w:rsidR="00533762" w:rsidTr="00533762">
        <w:tc>
          <w:tcPr>
            <w:cnfStyle w:val="001000000000" w:firstRow="0" w:lastRow="0" w:firstColumn="1" w:lastColumn="0" w:oddVBand="0" w:evenVBand="0" w:oddHBand="0" w:evenHBand="0" w:firstRowFirstColumn="0" w:firstRowLastColumn="0" w:lastRowFirstColumn="0" w:lastRowLastColumn="0"/>
            <w:tcW w:w="0" w:type="auto"/>
          </w:tcPr>
          <w:p w:rsidR="00533762" w:rsidRDefault="00533762" w:rsidP="00533762">
            <w:r>
              <w:t>returns</w:t>
            </w:r>
          </w:p>
        </w:tc>
        <w:tc>
          <w:tcPr>
            <w:tcW w:w="0" w:type="auto"/>
          </w:tcPr>
          <w:p w:rsidR="00533762" w:rsidRDefault="00533762" w:rsidP="00533762">
            <w:pPr>
              <w:cnfStyle w:val="000000000000" w:firstRow="0" w:lastRow="0" w:firstColumn="0" w:lastColumn="0" w:oddVBand="0" w:evenVBand="0" w:oddHBand="0" w:evenHBand="0" w:firstRowFirstColumn="0" w:firstRowLastColumn="0" w:lastRowFirstColumn="0" w:lastRowLastColumn="0"/>
            </w:pPr>
            <w:r>
              <w:t>N1</w:t>
            </w:r>
          </w:p>
        </w:tc>
        <w:tc>
          <w:tcPr>
            <w:tcW w:w="2740" w:type="dxa"/>
          </w:tcPr>
          <w:p w:rsidR="00533762" w:rsidRDefault="00533762" w:rsidP="00533762">
            <w:pPr>
              <w:cnfStyle w:val="000000000000" w:firstRow="0" w:lastRow="0" w:firstColumn="0" w:lastColumn="0" w:oddVBand="0" w:evenVBand="0" w:oddHBand="0" w:evenHBand="0" w:firstRowFirstColumn="0" w:firstRowLastColumn="0" w:lastRowFirstColumn="0" w:lastRowLastColumn="0"/>
            </w:pPr>
            <w:r w:rsidRPr="004B184E">
              <w:t>Number of returns</w:t>
            </w:r>
          </w:p>
        </w:tc>
        <w:tc>
          <w:tcPr>
            <w:tcW w:w="2847" w:type="dxa"/>
          </w:tcPr>
          <w:p w:rsidR="00533762" w:rsidRDefault="00533762" w:rsidP="00533762">
            <w:pPr>
              <w:cnfStyle w:val="000000000000" w:firstRow="0" w:lastRow="0" w:firstColumn="0" w:lastColumn="0" w:oddVBand="0" w:evenVBand="0" w:oddHBand="0" w:evenHBand="0" w:firstRowFirstColumn="0" w:firstRowLastColumn="0" w:lastRowFirstColumn="0" w:lastRowLastColumn="0"/>
            </w:pPr>
          </w:p>
        </w:tc>
        <w:tc>
          <w:tcPr>
            <w:tcW w:w="0" w:type="auto"/>
          </w:tcPr>
          <w:p w:rsidR="00533762" w:rsidRDefault="00533762" w:rsidP="00533762">
            <w:pPr>
              <w:cnfStyle w:val="000000000000" w:firstRow="0" w:lastRow="0" w:firstColumn="0" w:lastColumn="0" w:oddVBand="0" w:evenVBand="0" w:oddHBand="0" w:evenHBand="0" w:firstRowFirstColumn="0" w:firstRowLastColumn="0" w:lastRowFirstColumn="0" w:lastRowLastColumn="0"/>
            </w:pPr>
            <w:proofErr w:type="spellStart"/>
            <w:r>
              <w:t>Num</w:t>
            </w:r>
            <w:proofErr w:type="spellEnd"/>
          </w:p>
        </w:tc>
      </w:tr>
      <w:tr w:rsidR="00533762" w:rsidTr="00533762">
        <w:tc>
          <w:tcPr>
            <w:cnfStyle w:val="001000000000" w:firstRow="0" w:lastRow="0" w:firstColumn="1" w:lastColumn="0" w:oddVBand="0" w:evenVBand="0" w:oddHBand="0" w:evenHBand="0" w:firstRowFirstColumn="0" w:firstRowLastColumn="0" w:lastRowFirstColumn="0" w:lastRowLastColumn="0"/>
            <w:tcW w:w="0" w:type="auto"/>
          </w:tcPr>
          <w:p w:rsidR="00533762" w:rsidRDefault="00533762" w:rsidP="00533762">
            <w:r>
              <w:t>total AGI</w:t>
            </w:r>
          </w:p>
        </w:tc>
        <w:tc>
          <w:tcPr>
            <w:tcW w:w="0" w:type="auto"/>
          </w:tcPr>
          <w:p w:rsidR="00533762" w:rsidRDefault="00533762" w:rsidP="00533762">
            <w:pPr>
              <w:cnfStyle w:val="000000000000" w:firstRow="0" w:lastRow="0" w:firstColumn="0" w:lastColumn="0" w:oddVBand="0" w:evenVBand="0" w:oddHBand="0" w:evenHBand="0" w:firstRowFirstColumn="0" w:firstRowLastColumn="0" w:lastRowFirstColumn="0" w:lastRowLastColumn="0"/>
            </w:pPr>
            <w:r w:rsidRPr="004B184E">
              <w:t>A00100</w:t>
            </w:r>
          </w:p>
        </w:tc>
        <w:tc>
          <w:tcPr>
            <w:tcW w:w="2740" w:type="dxa"/>
          </w:tcPr>
          <w:p w:rsidR="00533762" w:rsidRPr="004B184E" w:rsidRDefault="00533762" w:rsidP="00533762">
            <w:pPr>
              <w:cnfStyle w:val="000000000000" w:firstRow="0" w:lastRow="0" w:firstColumn="0" w:lastColumn="0" w:oddVBand="0" w:evenVBand="0" w:oddHBand="0" w:evenHBand="0" w:firstRowFirstColumn="0" w:firstRowLastColumn="0" w:lastRowFirstColumn="0" w:lastRowLastColumn="0"/>
            </w:pPr>
            <w:r>
              <w:t xml:space="preserve">Adjust gross income (AGI) </w:t>
            </w:r>
            <w:r>
              <w:br/>
            </w:r>
            <w:r w:rsidRPr="004B184E">
              <w:t>Does not include returns with adjusted gross deficit.</w:t>
            </w:r>
          </w:p>
        </w:tc>
        <w:tc>
          <w:tcPr>
            <w:tcW w:w="2847" w:type="dxa"/>
          </w:tcPr>
          <w:p w:rsidR="00533762" w:rsidRDefault="00533762" w:rsidP="00533762">
            <w:pPr>
              <w:cnfStyle w:val="000000000000" w:firstRow="0" w:lastRow="0" w:firstColumn="0" w:lastColumn="0" w:oddVBand="0" w:evenVBand="0" w:oddHBand="0" w:evenHBand="0" w:firstRowFirstColumn="0" w:firstRowLastColumn="0" w:lastRowFirstColumn="0" w:lastRowLastColumn="0"/>
            </w:pPr>
            <w:r w:rsidRPr="004B184E">
              <w:t>1040:37 / 1040A:21 / 1040EZ:4</w:t>
            </w:r>
          </w:p>
        </w:tc>
        <w:tc>
          <w:tcPr>
            <w:tcW w:w="0" w:type="auto"/>
          </w:tcPr>
          <w:p w:rsidR="00533762" w:rsidRDefault="00533762" w:rsidP="00533762">
            <w:pPr>
              <w:cnfStyle w:val="000000000000" w:firstRow="0" w:lastRow="0" w:firstColumn="0" w:lastColumn="0" w:oddVBand="0" w:evenVBand="0" w:oddHBand="0" w:evenHBand="0" w:firstRowFirstColumn="0" w:firstRowLastColumn="0" w:lastRowFirstColumn="0" w:lastRowLastColumn="0"/>
            </w:pPr>
            <w:proofErr w:type="spellStart"/>
            <w:r>
              <w:t>Num</w:t>
            </w:r>
            <w:proofErr w:type="spellEnd"/>
          </w:p>
        </w:tc>
      </w:tr>
    </w:tbl>
    <w:p w:rsidR="00F93681" w:rsidRDefault="00F93681" w:rsidP="00F93681">
      <w:pPr>
        <w:pStyle w:val="Caption"/>
      </w:pPr>
      <w:r>
        <w:t xml:space="preserve">Table </w:t>
      </w:r>
      <w:r>
        <w:fldChar w:fldCharType="begin"/>
      </w:r>
      <w:r>
        <w:instrText xml:space="preserve"> SEQ Table \* ARABIC </w:instrText>
      </w:r>
      <w:r>
        <w:fldChar w:fldCharType="separate"/>
      </w:r>
      <w:r>
        <w:rPr>
          <w:noProof/>
        </w:rPr>
        <w:t>1</w:t>
      </w:r>
      <w:r>
        <w:fldChar w:fldCharType="end"/>
      </w:r>
      <w:r>
        <w:t>: IRS Data Description</w:t>
      </w:r>
    </w:p>
    <w:p w:rsidR="00F93681" w:rsidRPr="00F93681" w:rsidRDefault="00B71686" w:rsidP="00F93681">
      <w:r>
        <w:t>This data can then be manipulated and combined with geographic data to get relative wealth scores of different types including average household income, income density, etc.  These parameters can later be used to identify target markets.</w:t>
      </w:r>
    </w:p>
    <w:p w:rsidR="00B30C8E" w:rsidRDefault="000D6F97" w:rsidP="000D6F97">
      <w:pPr>
        <w:pStyle w:val="Heading3Numbered"/>
      </w:pPr>
      <w:bookmarkStart w:id="4" w:name="_Toc12559584"/>
      <w:r>
        <w:t>Geographic Data</w:t>
      </w:r>
      <w:bookmarkEnd w:id="4"/>
    </w:p>
    <w:p w:rsidR="000D6F97" w:rsidRDefault="000D6F97" w:rsidP="000D6F97">
      <w:r>
        <w:t>The geographic data used in this analysis consisted of the zip code boundaries provided by the 2010 US Census.  The data was gathered from a GitHub repository (</w:t>
      </w:r>
      <w:proofErr w:type="spellStart"/>
      <w:r>
        <w:t>OpenDataDE</w:t>
      </w:r>
      <w:proofErr w:type="spellEnd"/>
      <w:r>
        <w:t xml:space="preserve">) that maintained </w:t>
      </w:r>
      <w:proofErr w:type="spellStart"/>
      <w:r>
        <w:t>GeoJSON</w:t>
      </w:r>
      <w:proofErr w:type="spellEnd"/>
      <w:r>
        <w:t xml:space="preserve"> files for each state that were converted from the US Census Shapefiles (per the readme).  These files contain boundaries, latitudes and longitudes</w:t>
      </w:r>
      <w:r w:rsidR="00540D09">
        <w:t>, and areas for each zip code.</w:t>
      </w:r>
    </w:p>
    <w:p w:rsidR="00540D09" w:rsidRDefault="00540D09" w:rsidP="000D6F97">
      <w:r>
        <w:lastRenderedPageBreak/>
        <w:t>The geographic data was originally only consisting of the zip codes contained within the Sam Houston Tollway, but that left out some major areas of oilfield activity including the “Energy Corridor” around I10</w:t>
      </w:r>
      <w:r w:rsidR="00431523">
        <w:t>/</w:t>
      </w:r>
      <w:r>
        <w:t>Hwy 6 and Sugar Land, both of which re</w:t>
      </w:r>
      <w:r w:rsidR="00600D7B">
        <w:t>vealed a notably high</w:t>
      </w:r>
      <w:r>
        <w:t xml:space="preserve"> percentage of high earners.</w:t>
      </w:r>
    </w:p>
    <w:p w:rsidR="00F93681" w:rsidRDefault="00F93681" w:rsidP="000D6F97">
      <w:r>
        <w:t>When combined with the income data, the geographic data revealed that some very small, wealthy zip codes skewed the relative numbers despite having only a small number of returns.  These zip codes (specifically 77010 and 77046) were found almost entirely within the bounds of other zip codes, so the income data for these zip codes was combined with the larger zip codes and the small zip codes were dropped from the analysis.  This should not negatively affect the analysis.</w:t>
      </w:r>
    </w:p>
    <w:p w:rsidR="00431523" w:rsidRPr="000D6F97" w:rsidRDefault="00431523" w:rsidP="000D6F97">
      <w:r>
        <w:t>In the end, 92 zip codes were chosen for inclusion in the analysis.</w:t>
      </w:r>
    </w:p>
    <w:p w:rsidR="000D6F97" w:rsidRDefault="000D6F97" w:rsidP="000D6F97">
      <w:pPr>
        <w:pStyle w:val="Heading3Numbered"/>
      </w:pPr>
      <w:bookmarkStart w:id="5" w:name="_Toc12559585"/>
      <w:r>
        <w:t>Venue Data</w:t>
      </w:r>
      <w:bookmarkEnd w:id="5"/>
    </w:p>
    <w:p w:rsidR="00431523" w:rsidRDefault="00431523" w:rsidP="00431523">
      <w:r>
        <w:t xml:space="preserve">The venue data is gathered from Foursquare similar to lab exercises.  For this exercise, only restaurant-type venues were desired in order to evaluate the types and quantities of restaurants in the vicinity of the chosen zip codes.  The Foursquare API appeared to limit all queries to 100 results, independent of a higher value entered in the query, so it was necessary to search using restaurant subtypes that were available in the </w:t>
      </w:r>
      <w:proofErr w:type="gramStart"/>
      <w:r>
        <w:t>Foursquare</w:t>
      </w:r>
      <w:proofErr w:type="gramEnd"/>
      <w:r>
        <w:t xml:space="preserve"> documentation (Venue Categories).  This resulted in many more queries, but each of those queries returned fewer than 100 results, meaning that venues weren’t dropped because of density.</w:t>
      </w:r>
    </w:p>
    <w:p w:rsidR="00431523" w:rsidRDefault="00431523" w:rsidP="00431523">
      <w:r>
        <w:t>A somewhat arbitrary two-mile radius from the center of the zip code was used to consider restaurant venues accessible to that zip code.  This assumption will have a large impact on the number of venues found and is somewhat difficult to apply to both the smaller downtown zip codes and the larger suburban zip codes, but it was used as a reasonable approximation for the purposes of this exercise.</w:t>
      </w:r>
    </w:p>
    <w:p w:rsidR="00216D75" w:rsidRDefault="00431523" w:rsidP="00431523">
      <w:r>
        <w:t>After gathering the restaurant data as a function of zip code, the data was manually examined and a list of subcategories were removed based on inapplicability to the exercise (corporate or school cafeterias, grocery stores, and other venues that were returned as results without being what most would consider traditional restaurants).</w:t>
      </w:r>
    </w:p>
    <w:p w:rsidR="00431523" w:rsidRPr="00216D75" w:rsidRDefault="00431523" w:rsidP="00431523">
      <w:r>
        <w:t>In the end, 206 distinct restaurant categories were used within the included zip codes.</w:t>
      </w:r>
    </w:p>
    <w:p w:rsidR="00576AE5" w:rsidRDefault="007F2F79" w:rsidP="003E36FC">
      <w:pPr>
        <w:pStyle w:val="Heading2Numbered"/>
      </w:pPr>
      <w:bookmarkStart w:id="6" w:name="_Toc12559586"/>
      <w:r>
        <w:t>Methodology</w:t>
      </w:r>
      <w:r w:rsidR="00C25A34">
        <w:t xml:space="preserve"> (Week 2)</w:t>
      </w:r>
      <w:bookmarkEnd w:id="6"/>
    </w:p>
    <w:p w:rsidR="00C25A34" w:rsidRDefault="007F2F79" w:rsidP="00C25A34">
      <w:pPr>
        <w:pStyle w:val="Heading2Numbered"/>
      </w:pPr>
      <w:bookmarkStart w:id="7" w:name="_Toc12559587"/>
      <w:r>
        <w:t>Results</w:t>
      </w:r>
      <w:r w:rsidR="00C25A34">
        <w:t xml:space="preserve"> (Week 2)</w:t>
      </w:r>
      <w:bookmarkEnd w:id="7"/>
    </w:p>
    <w:p w:rsidR="00C25A34" w:rsidRDefault="007F2F79" w:rsidP="00C25A34">
      <w:pPr>
        <w:pStyle w:val="Heading2Numbered"/>
      </w:pPr>
      <w:bookmarkStart w:id="8" w:name="_Toc12559588"/>
      <w:r>
        <w:t>Discussion</w:t>
      </w:r>
      <w:r w:rsidR="00C25A34">
        <w:t xml:space="preserve"> (Week 2)</w:t>
      </w:r>
      <w:bookmarkEnd w:id="8"/>
    </w:p>
    <w:p w:rsidR="00C25A34" w:rsidRDefault="007F2F79" w:rsidP="00C25A34">
      <w:pPr>
        <w:pStyle w:val="Heading2Numbered"/>
      </w:pPr>
      <w:bookmarkStart w:id="9" w:name="_Toc12559589"/>
      <w:r>
        <w:t>Conclusion</w:t>
      </w:r>
      <w:r w:rsidR="00C25A34">
        <w:t xml:space="preserve"> (Week 2)</w:t>
      </w:r>
      <w:bookmarkEnd w:id="9"/>
    </w:p>
    <w:p w:rsidR="007F2F79" w:rsidRDefault="007F2F79" w:rsidP="007F2F79">
      <w:pPr>
        <w:pStyle w:val="Heading2Numbered"/>
      </w:pPr>
      <w:bookmarkStart w:id="10" w:name="_Ref6767540"/>
      <w:bookmarkStart w:id="11" w:name="_Toc12559590"/>
      <w:r>
        <w:t>References</w:t>
      </w:r>
      <w:r w:rsidR="00C25A34">
        <w:t xml:space="preserve"> (Week 2)</w:t>
      </w:r>
      <w:bookmarkEnd w:id="10"/>
      <w:bookmarkEnd w:id="11"/>
    </w:p>
    <w:p w:rsidR="00CE4540" w:rsidRDefault="00AB3F66" w:rsidP="00821977">
      <w:pPr>
        <w:pStyle w:val="NormalWeb"/>
        <w:ind w:left="567" w:hanging="567"/>
      </w:pPr>
      <w:r>
        <w:t xml:space="preserve"> </w:t>
      </w:r>
      <w:r w:rsidR="000D6F97">
        <w:t>“</w:t>
      </w:r>
      <w:r w:rsidR="000D6F97" w:rsidRPr="000D6F97">
        <w:t>2010 TIGER/Line® Shapefiles</w:t>
      </w:r>
      <w:r w:rsidR="000D6F97">
        <w:t xml:space="preserve">.” United States Census Bureau, </w:t>
      </w:r>
      <w:hyperlink r:id="rId6" w:history="1">
        <w:r w:rsidR="000D6F97">
          <w:rPr>
            <w:rStyle w:val="Hyperlink"/>
            <w:rFonts w:eastAsiaTheme="majorEastAsia"/>
          </w:rPr>
          <w:t>https://www.census.gov/cgi-bin/geo/shapefiles2010/main</w:t>
        </w:r>
      </w:hyperlink>
      <w:r w:rsidR="000D6F97">
        <w:t xml:space="preserve"> (accessed April 21, 2019)</w:t>
      </w:r>
    </w:p>
    <w:p w:rsidR="00821977" w:rsidRDefault="00821977" w:rsidP="00821977">
      <w:pPr>
        <w:pStyle w:val="NormalWeb"/>
        <w:ind w:left="567" w:hanging="567"/>
      </w:pPr>
      <w:r>
        <w:t xml:space="preserve">Gilmer, Bill. “Proximity Counts: How Houston Dominates the Oil Industry.” </w:t>
      </w:r>
      <w:r>
        <w:rPr>
          <w:i/>
          <w:iCs/>
        </w:rPr>
        <w:t>Forbes</w:t>
      </w:r>
      <w:r>
        <w:t xml:space="preserve">, Forbes Magazine, 23 Aug. 2018, </w:t>
      </w:r>
      <w:hyperlink r:id="rId7" w:history="1">
        <w:r w:rsidRPr="000C1E62">
          <w:rPr>
            <w:rStyle w:val="Hyperlink"/>
          </w:rPr>
          <w:t>www.forbes.com/sites/uhenergy/2018/08/22/proximity-counts-how-houston-dominates-the-oil-industry/</w:t>
        </w:r>
      </w:hyperlink>
      <w:r w:rsidR="00CE4540">
        <w:t xml:space="preserve"> (accessed April 21, 2019)</w:t>
      </w:r>
    </w:p>
    <w:p w:rsidR="00CE4540" w:rsidRDefault="00CE4540" w:rsidP="00CE4540">
      <w:pPr>
        <w:pStyle w:val="NormalWeb"/>
        <w:ind w:left="567" w:hanging="567"/>
      </w:pPr>
      <w:r>
        <w:lastRenderedPageBreak/>
        <w:t>“</w:t>
      </w:r>
      <w:proofErr w:type="spellStart"/>
      <w:r>
        <w:t>OpenDataDE</w:t>
      </w:r>
      <w:proofErr w:type="spellEnd"/>
      <w:r>
        <w:t>/State-zip-code-</w:t>
      </w:r>
      <w:proofErr w:type="spellStart"/>
      <w:r>
        <w:t>GeoJSON</w:t>
      </w:r>
      <w:proofErr w:type="spellEnd"/>
      <w:r>
        <w:t xml:space="preserve">.” GitHub Repository, </w:t>
      </w:r>
      <w:hyperlink r:id="rId8" w:history="1">
        <w:r>
          <w:rPr>
            <w:rStyle w:val="Hyperlink"/>
            <w:rFonts w:eastAsiaTheme="majorEastAsia"/>
          </w:rPr>
          <w:t>https://github.com/OpenDataDE/State-zip-code-GeoJSON</w:t>
        </w:r>
      </w:hyperlink>
      <w:r>
        <w:t xml:space="preserve"> (accessed April 21, 2019)</w:t>
      </w:r>
    </w:p>
    <w:p w:rsidR="00821977" w:rsidRDefault="00CE4540" w:rsidP="00821977">
      <w:pPr>
        <w:pStyle w:val="NormalWeb"/>
        <w:ind w:left="567" w:hanging="567"/>
      </w:pPr>
      <w:r>
        <w:t>“</w:t>
      </w:r>
      <w:r w:rsidRPr="00CE4540">
        <w:t>SOI Tax Stats - Individual Income Tax Statistics - ZIP Code Data (SOI)</w:t>
      </w:r>
      <w:r w:rsidR="00821977">
        <w:t>.</w:t>
      </w:r>
      <w:r>
        <w:t>”  U</w:t>
      </w:r>
      <w:r w:rsidR="000D6F97">
        <w:t xml:space="preserve">nited </w:t>
      </w:r>
      <w:r>
        <w:t>S</w:t>
      </w:r>
      <w:r w:rsidR="000D6F97">
        <w:t>tates</w:t>
      </w:r>
      <w:r>
        <w:t xml:space="preserve"> Internal Revenue Service, </w:t>
      </w:r>
      <w:hyperlink r:id="rId9" w:history="1">
        <w:r w:rsidRPr="000C1E62">
          <w:rPr>
            <w:rStyle w:val="Hyperlink"/>
          </w:rPr>
          <w:t>https://www.irs.gov/statistics/soi-tax-stats-individual-income-tax-statistics-zip-code-data-soi</w:t>
        </w:r>
      </w:hyperlink>
      <w:r>
        <w:t xml:space="preserve"> (accessed April 21, 2019)</w:t>
      </w:r>
    </w:p>
    <w:p w:rsidR="00431523" w:rsidRDefault="00431523" w:rsidP="00821977">
      <w:pPr>
        <w:pStyle w:val="NormalWeb"/>
        <w:ind w:left="567" w:hanging="567"/>
      </w:pPr>
      <w:r>
        <w:rPr>
          <w:color w:val="000000"/>
        </w:rPr>
        <w:t xml:space="preserve">“Venue Categories.”  Foursquare Developers, </w:t>
      </w:r>
      <w:hyperlink r:id="rId10" w:history="1">
        <w:r>
          <w:rPr>
            <w:rStyle w:val="Hyperlink"/>
            <w:rFonts w:eastAsiaTheme="majorEastAsia"/>
            <w:color w:val="1155CC"/>
          </w:rPr>
          <w:t>https://developer.foursquare.com/docs/resources/categories</w:t>
        </w:r>
      </w:hyperlink>
      <w:r>
        <w:rPr>
          <w:color w:val="000000"/>
        </w:rPr>
        <w:t xml:space="preserve"> (accessed June 27, 2019)</w:t>
      </w:r>
    </w:p>
    <w:p w:rsidR="00821977" w:rsidRDefault="0087225F" w:rsidP="0087225F">
      <w:pPr>
        <w:pStyle w:val="Heading2Numbered"/>
      </w:pPr>
      <w:bookmarkStart w:id="12" w:name="_Toc12559591"/>
      <w:r>
        <w:t>Acknowledgements (Week 2)</w:t>
      </w:r>
      <w:bookmarkEnd w:id="12"/>
    </w:p>
    <w:p w:rsidR="0087225F" w:rsidRDefault="0087225F" w:rsidP="0087225F">
      <w:pPr>
        <w:pStyle w:val="Heading2Numbered"/>
      </w:pPr>
      <w:bookmarkStart w:id="13" w:name="_Toc12559592"/>
      <w:r>
        <w:t xml:space="preserve">Appendix </w:t>
      </w:r>
      <w:r w:rsidR="00C902A1">
        <w:rPr>
          <w:noProof/>
        </w:rPr>
        <w:fldChar w:fldCharType="begin"/>
      </w:r>
      <w:r w:rsidR="00C902A1">
        <w:rPr>
          <w:noProof/>
        </w:rPr>
        <w:instrText xml:space="preserve"> SEQ Appendix \*ALPHABETIC \* MERGEFORMAT </w:instrText>
      </w:r>
      <w:r w:rsidR="00C902A1">
        <w:rPr>
          <w:noProof/>
        </w:rPr>
        <w:fldChar w:fldCharType="separate"/>
      </w:r>
      <w:r>
        <w:rPr>
          <w:noProof/>
        </w:rPr>
        <w:t>A</w:t>
      </w:r>
      <w:r w:rsidR="00C902A1">
        <w:rPr>
          <w:noProof/>
        </w:rPr>
        <w:fldChar w:fldCharType="end"/>
      </w:r>
      <w:r>
        <w:t xml:space="preserve"> (Week 2)</w:t>
      </w:r>
      <w:bookmarkEnd w:id="13"/>
    </w:p>
    <w:p w:rsidR="0087225F" w:rsidRDefault="0087225F" w:rsidP="0087225F">
      <w:pPr>
        <w:pStyle w:val="Heading2Numbered"/>
      </w:pPr>
      <w:bookmarkStart w:id="14" w:name="_Toc12559593"/>
      <w:r>
        <w:t xml:space="preserve">Appendix </w:t>
      </w:r>
      <w:fldSimple w:instr=" SEQ Appendix \*ALPHABETIC \* MERGEFORMAT ">
        <w:r>
          <w:rPr>
            <w:noProof/>
          </w:rPr>
          <w:t>B</w:t>
        </w:r>
      </w:fldSimple>
      <w:r>
        <w:t xml:space="preserve"> (Week 2)</w:t>
      </w:r>
      <w:bookmarkEnd w:id="14"/>
    </w:p>
    <w:p w:rsidR="00C808E9" w:rsidRDefault="00C808E9"/>
    <w:sectPr w:rsidR="00C80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E5792"/>
    <w:multiLevelType w:val="hybridMultilevel"/>
    <w:tmpl w:val="A48276BE"/>
    <w:lvl w:ilvl="0" w:tplc="D0722EC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C76B3"/>
    <w:multiLevelType w:val="multilevel"/>
    <w:tmpl w:val="ACEEB064"/>
    <w:lvl w:ilvl="0">
      <w:start w:val="1"/>
      <w:numFmt w:val="decimal"/>
      <w:pStyle w:val="Heading2Numbered"/>
      <w:lvlText w:val="%1."/>
      <w:lvlJc w:val="right"/>
      <w:pPr>
        <w:ind w:left="720" w:firstLine="0"/>
      </w:pPr>
      <w:rPr>
        <w:rFonts w:hint="default"/>
      </w:rPr>
    </w:lvl>
    <w:lvl w:ilvl="1">
      <w:start w:val="1"/>
      <w:numFmt w:val="decimal"/>
      <w:pStyle w:val="Heading3Numbered"/>
      <w:lvlText w:val="%1.%2."/>
      <w:lvlJc w:val="right"/>
      <w:pPr>
        <w:ind w:left="720" w:firstLine="0"/>
      </w:pPr>
      <w:rPr>
        <w:rFonts w:hint="default"/>
      </w:rPr>
    </w:lvl>
    <w:lvl w:ilvl="2">
      <w:start w:val="1"/>
      <w:numFmt w:val="decimal"/>
      <w:pStyle w:val="Heading4Numbered"/>
      <w:lvlText w:val="%1.%2.%3."/>
      <w:lvlJc w:val="right"/>
      <w:pPr>
        <w:ind w:left="1080" w:firstLine="0"/>
      </w:pPr>
      <w:rPr>
        <w:rFonts w:hint="default"/>
      </w:rPr>
    </w:lvl>
    <w:lvl w:ilvl="3">
      <w:start w:val="1"/>
      <w:numFmt w:val="decimal"/>
      <w:pStyle w:val="Heading5Numbered"/>
      <w:lvlText w:val="%4.%1.%2.%3"/>
      <w:lvlJc w:val="right"/>
      <w:pPr>
        <w:ind w:left="1080"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720" w:firstLine="0"/>
      </w:pPr>
      <w:rPr>
        <w:rFonts w:hint="default"/>
      </w:rPr>
    </w:lvl>
    <w:lvl w:ilvl="6">
      <w:start w:val="1"/>
      <w:numFmt w:val="decimal"/>
      <w:lvlText w:val="%7."/>
      <w:lvlJc w:val="left"/>
      <w:pPr>
        <w:ind w:left="720" w:firstLine="0"/>
      </w:pPr>
      <w:rPr>
        <w:rFonts w:hint="default"/>
      </w:rPr>
    </w:lvl>
    <w:lvl w:ilvl="7">
      <w:start w:val="1"/>
      <w:numFmt w:val="lowerLetter"/>
      <w:lvlText w:val="%8."/>
      <w:lvlJc w:val="left"/>
      <w:pPr>
        <w:ind w:left="720" w:firstLine="0"/>
      </w:pPr>
      <w:rPr>
        <w:rFonts w:hint="default"/>
      </w:rPr>
    </w:lvl>
    <w:lvl w:ilvl="8">
      <w:start w:val="1"/>
      <w:numFmt w:val="lowerRoman"/>
      <w:lvlText w:val="%9."/>
      <w:lvlJc w:val="right"/>
      <w:pPr>
        <w:ind w:left="72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E5"/>
    <w:rsid w:val="00017EA1"/>
    <w:rsid w:val="000D6F97"/>
    <w:rsid w:val="00131009"/>
    <w:rsid w:val="00216D75"/>
    <w:rsid w:val="002618FE"/>
    <w:rsid w:val="002B1FFB"/>
    <w:rsid w:val="002E0E53"/>
    <w:rsid w:val="00397AD3"/>
    <w:rsid w:val="003E36FC"/>
    <w:rsid w:val="00431523"/>
    <w:rsid w:val="00492804"/>
    <w:rsid w:val="00497A98"/>
    <w:rsid w:val="004B184E"/>
    <w:rsid w:val="00533762"/>
    <w:rsid w:val="00540D09"/>
    <w:rsid w:val="00576AE5"/>
    <w:rsid w:val="005E26D2"/>
    <w:rsid w:val="00600D7B"/>
    <w:rsid w:val="007F2F79"/>
    <w:rsid w:val="00821977"/>
    <w:rsid w:val="0087225F"/>
    <w:rsid w:val="00AB3F66"/>
    <w:rsid w:val="00B30C8E"/>
    <w:rsid w:val="00B71686"/>
    <w:rsid w:val="00C25A34"/>
    <w:rsid w:val="00C808E9"/>
    <w:rsid w:val="00C902A1"/>
    <w:rsid w:val="00CE4540"/>
    <w:rsid w:val="00D007BE"/>
    <w:rsid w:val="00E4133B"/>
    <w:rsid w:val="00F9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F01C2-AF2D-49AC-A5E7-B061311F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AE5"/>
    <w:pPr>
      <w:keepNext/>
      <w:keepLines/>
      <w:spacing w:before="40" w:after="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36F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E36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A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6AE5"/>
    <w:rPr>
      <w:rFonts w:asciiTheme="majorHAnsi" w:eastAsiaTheme="majorEastAsia" w:hAnsiTheme="majorHAnsi" w:cstheme="majorBidi"/>
      <w:color w:val="2E74B5" w:themeColor="accent1" w:themeShade="BF"/>
      <w:sz w:val="26"/>
      <w:szCs w:val="26"/>
    </w:rPr>
  </w:style>
  <w:style w:type="paragraph" w:customStyle="1" w:styleId="Heading2non-numbered">
    <w:name w:val="Heading 2 non-numbered"/>
    <w:basedOn w:val="Heading2"/>
    <w:rsid w:val="003E36FC"/>
  </w:style>
  <w:style w:type="character" w:customStyle="1" w:styleId="Heading3Char">
    <w:name w:val="Heading 3 Char"/>
    <w:basedOn w:val="DefaultParagraphFont"/>
    <w:link w:val="Heading3"/>
    <w:uiPriority w:val="9"/>
    <w:rsid w:val="003E36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E36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E36FC"/>
    <w:rPr>
      <w:rFonts w:asciiTheme="majorHAnsi" w:eastAsiaTheme="majorEastAsia" w:hAnsiTheme="majorHAnsi" w:cstheme="majorBidi"/>
      <w:color w:val="2E74B5" w:themeColor="accent1" w:themeShade="BF"/>
    </w:rPr>
  </w:style>
  <w:style w:type="paragraph" w:customStyle="1" w:styleId="Heading2Numbered">
    <w:name w:val="Heading 2 Numbered"/>
    <w:basedOn w:val="Heading2"/>
    <w:next w:val="Normal"/>
    <w:qFormat/>
    <w:rsid w:val="00397AD3"/>
    <w:pPr>
      <w:numPr>
        <w:numId w:val="1"/>
      </w:numPr>
      <w:outlineLvl w:val="0"/>
    </w:pPr>
  </w:style>
  <w:style w:type="paragraph" w:customStyle="1" w:styleId="Heading3Numbered">
    <w:name w:val="Heading 3 Numbered"/>
    <w:basedOn w:val="Heading3"/>
    <w:next w:val="Normal"/>
    <w:qFormat/>
    <w:rsid w:val="003E36FC"/>
    <w:pPr>
      <w:numPr>
        <w:ilvl w:val="1"/>
        <w:numId w:val="1"/>
      </w:numPr>
    </w:pPr>
  </w:style>
  <w:style w:type="paragraph" w:customStyle="1" w:styleId="Heading4Numbered">
    <w:name w:val="Heading 4 Numbered"/>
    <w:basedOn w:val="Heading4"/>
    <w:next w:val="Normal"/>
    <w:qFormat/>
    <w:rsid w:val="003E36FC"/>
    <w:pPr>
      <w:numPr>
        <w:ilvl w:val="2"/>
        <w:numId w:val="1"/>
      </w:numPr>
    </w:pPr>
  </w:style>
  <w:style w:type="paragraph" w:customStyle="1" w:styleId="Heading5Numbered">
    <w:name w:val="Heading 5 Numbered"/>
    <w:basedOn w:val="Heading5"/>
    <w:next w:val="Normal"/>
    <w:qFormat/>
    <w:rsid w:val="003E36FC"/>
    <w:pPr>
      <w:numPr>
        <w:ilvl w:val="3"/>
        <w:numId w:val="1"/>
      </w:numPr>
    </w:pPr>
  </w:style>
  <w:style w:type="paragraph" w:styleId="TOC1">
    <w:name w:val="toc 1"/>
    <w:basedOn w:val="Normal"/>
    <w:next w:val="Normal"/>
    <w:autoRedefine/>
    <w:uiPriority w:val="39"/>
    <w:unhideWhenUsed/>
    <w:rsid w:val="007F2F79"/>
    <w:pPr>
      <w:spacing w:after="100"/>
    </w:pPr>
  </w:style>
  <w:style w:type="paragraph" w:styleId="TOC2">
    <w:name w:val="toc 2"/>
    <w:basedOn w:val="Normal"/>
    <w:next w:val="Normal"/>
    <w:autoRedefine/>
    <w:uiPriority w:val="39"/>
    <w:unhideWhenUsed/>
    <w:rsid w:val="007F2F79"/>
    <w:pPr>
      <w:spacing w:after="100"/>
      <w:ind w:left="220"/>
    </w:pPr>
  </w:style>
  <w:style w:type="paragraph" w:styleId="TOC3">
    <w:name w:val="toc 3"/>
    <w:basedOn w:val="Normal"/>
    <w:next w:val="Normal"/>
    <w:autoRedefine/>
    <w:uiPriority w:val="39"/>
    <w:unhideWhenUsed/>
    <w:rsid w:val="007F2F79"/>
    <w:pPr>
      <w:spacing w:after="100"/>
      <w:ind w:left="440"/>
    </w:pPr>
  </w:style>
  <w:style w:type="character" w:styleId="Hyperlink">
    <w:name w:val="Hyperlink"/>
    <w:basedOn w:val="DefaultParagraphFont"/>
    <w:uiPriority w:val="99"/>
    <w:unhideWhenUsed/>
    <w:rsid w:val="007F2F79"/>
    <w:rPr>
      <w:color w:val="0563C1" w:themeColor="hyperlink"/>
      <w:u w:val="single"/>
    </w:rPr>
  </w:style>
  <w:style w:type="character" w:styleId="FollowedHyperlink">
    <w:name w:val="FollowedHyperlink"/>
    <w:basedOn w:val="DefaultParagraphFont"/>
    <w:uiPriority w:val="99"/>
    <w:semiHidden/>
    <w:unhideWhenUsed/>
    <w:rsid w:val="00C25A34"/>
    <w:rPr>
      <w:color w:val="954F72" w:themeColor="followedHyperlink"/>
      <w:u w:val="single"/>
    </w:rPr>
  </w:style>
  <w:style w:type="paragraph" w:styleId="NormalWeb">
    <w:name w:val="Normal (Web)"/>
    <w:basedOn w:val="Normal"/>
    <w:uiPriority w:val="99"/>
    <w:semiHidden/>
    <w:unhideWhenUsed/>
    <w:rsid w:val="008219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0E53"/>
    <w:pPr>
      <w:ind w:left="720"/>
      <w:contextualSpacing/>
    </w:pPr>
  </w:style>
  <w:style w:type="table" w:styleId="TableGrid">
    <w:name w:val="Table Grid"/>
    <w:basedOn w:val="TableNormal"/>
    <w:uiPriority w:val="39"/>
    <w:rsid w:val="002E0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B18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93681"/>
    <w:pPr>
      <w:spacing w:after="200" w:line="240" w:lineRule="auto"/>
      <w:jc w:val="center"/>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34400">
      <w:bodyDiv w:val="1"/>
      <w:marLeft w:val="0"/>
      <w:marRight w:val="0"/>
      <w:marTop w:val="0"/>
      <w:marBottom w:val="0"/>
      <w:divBdr>
        <w:top w:val="none" w:sz="0" w:space="0" w:color="auto"/>
        <w:left w:val="none" w:sz="0" w:space="0" w:color="auto"/>
        <w:bottom w:val="none" w:sz="0" w:space="0" w:color="auto"/>
        <w:right w:val="none" w:sz="0" w:space="0" w:color="auto"/>
      </w:divBdr>
    </w:div>
    <w:div w:id="1279025136">
      <w:bodyDiv w:val="1"/>
      <w:marLeft w:val="0"/>
      <w:marRight w:val="0"/>
      <w:marTop w:val="0"/>
      <w:marBottom w:val="0"/>
      <w:divBdr>
        <w:top w:val="none" w:sz="0" w:space="0" w:color="auto"/>
        <w:left w:val="none" w:sz="0" w:space="0" w:color="auto"/>
        <w:bottom w:val="none" w:sz="0" w:space="0" w:color="auto"/>
        <w:right w:val="none" w:sz="0" w:space="0" w:color="auto"/>
      </w:divBdr>
    </w:div>
    <w:div w:id="1777557945">
      <w:bodyDiv w:val="1"/>
      <w:marLeft w:val="0"/>
      <w:marRight w:val="0"/>
      <w:marTop w:val="0"/>
      <w:marBottom w:val="0"/>
      <w:divBdr>
        <w:top w:val="none" w:sz="0" w:space="0" w:color="auto"/>
        <w:left w:val="none" w:sz="0" w:space="0" w:color="auto"/>
        <w:bottom w:val="none" w:sz="0" w:space="0" w:color="auto"/>
        <w:right w:val="none" w:sz="0" w:space="0" w:color="auto"/>
      </w:divBdr>
      <w:divsChild>
        <w:div w:id="1649749008">
          <w:marLeft w:val="0"/>
          <w:marRight w:val="0"/>
          <w:marTop w:val="0"/>
          <w:marBottom w:val="0"/>
          <w:divBdr>
            <w:top w:val="none" w:sz="0" w:space="0" w:color="auto"/>
            <w:left w:val="none" w:sz="0" w:space="0" w:color="auto"/>
            <w:bottom w:val="none" w:sz="0" w:space="0" w:color="auto"/>
            <w:right w:val="none" w:sz="0" w:space="0" w:color="auto"/>
          </w:divBdr>
          <w:divsChild>
            <w:div w:id="2062241640">
              <w:marLeft w:val="-120"/>
              <w:marRight w:val="-120"/>
              <w:marTop w:val="0"/>
              <w:marBottom w:val="0"/>
              <w:divBdr>
                <w:top w:val="none" w:sz="0" w:space="0" w:color="auto"/>
                <w:left w:val="none" w:sz="0" w:space="0" w:color="auto"/>
                <w:bottom w:val="none" w:sz="0" w:space="0" w:color="auto"/>
                <w:right w:val="none" w:sz="0" w:space="0" w:color="auto"/>
              </w:divBdr>
              <w:divsChild>
                <w:div w:id="203293003">
                  <w:marLeft w:val="120"/>
                  <w:marRight w:val="120"/>
                  <w:marTop w:val="0"/>
                  <w:marBottom w:val="0"/>
                  <w:divBdr>
                    <w:top w:val="none" w:sz="0" w:space="0" w:color="auto"/>
                    <w:left w:val="none" w:sz="0" w:space="0" w:color="auto"/>
                    <w:bottom w:val="none" w:sz="0" w:space="0" w:color="auto"/>
                    <w:right w:val="none" w:sz="0" w:space="0" w:color="auto"/>
                  </w:divBdr>
                </w:div>
                <w:div w:id="39420631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372960">
      <w:bodyDiv w:val="1"/>
      <w:marLeft w:val="0"/>
      <w:marRight w:val="0"/>
      <w:marTop w:val="0"/>
      <w:marBottom w:val="0"/>
      <w:divBdr>
        <w:top w:val="none" w:sz="0" w:space="0" w:color="auto"/>
        <w:left w:val="none" w:sz="0" w:space="0" w:color="auto"/>
        <w:bottom w:val="none" w:sz="0" w:space="0" w:color="auto"/>
        <w:right w:val="none" w:sz="0" w:space="0" w:color="auto"/>
      </w:divBdr>
      <w:divsChild>
        <w:div w:id="558902561">
          <w:marLeft w:val="0"/>
          <w:marRight w:val="0"/>
          <w:marTop w:val="0"/>
          <w:marBottom w:val="0"/>
          <w:divBdr>
            <w:top w:val="none" w:sz="0" w:space="0" w:color="auto"/>
            <w:left w:val="none" w:sz="0" w:space="0" w:color="auto"/>
            <w:bottom w:val="none" w:sz="0" w:space="0" w:color="auto"/>
            <w:right w:val="none" w:sz="0" w:space="0" w:color="auto"/>
          </w:divBdr>
        </w:div>
      </w:divsChild>
    </w:div>
    <w:div w:id="18332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DataDE/State-zip-code-GeoJSON" TargetMode="External"/><Relationship Id="rId3" Type="http://schemas.openxmlformats.org/officeDocument/2006/relationships/styles" Target="styles.xml"/><Relationship Id="rId7" Type="http://schemas.openxmlformats.org/officeDocument/2006/relationships/hyperlink" Target="http://www.forbes.com/sites/uhenergy/2018/08/22/proximity-counts-how-houston-dominates-the-oil-industr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ensus.gov/cgi-bin/geo/shapefiles2010/ma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foursquare.com/docs/resources/categories" TargetMode="External"/><Relationship Id="rId4" Type="http://schemas.openxmlformats.org/officeDocument/2006/relationships/settings" Target="settings.xml"/><Relationship Id="rId9" Type="http://schemas.openxmlformats.org/officeDocument/2006/relationships/hyperlink" Target="https://www.irs.gov/statistics/soi-tax-stats-individual-income-tax-statistics-zip-code-data-s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FBB4F-4DC1-456D-BB7B-C21CC4C0B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40071</TotalTime>
  <Pages>5</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Giem</dc:creator>
  <cp:keywords/>
  <dc:description/>
  <cp:lastModifiedBy>Greg Giem</cp:lastModifiedBy>
  <cp:revision>12</cp:revision>
  <dcterms:created xsi:type="dcterms:W3CDTF">2019-04-21T19:25:00Z</dcterms:created>
  <dcterms:modified xsi:type="dcterms:W3CDTF">2019-06-28T01:26:00Z</dcterms:modified>
</cp:coreProperties>
</file>