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60"/>
        <w:jc w:val="center"/>
      </w:pPr>
      <w:r>
        <w:rPr>
          <w:b/>
          <w:bCs/>
          <w:color w:val="5A6472"/>
          <w:sz w:val="26"/>
          <w:szCs w:val="26"/>
        </w:rPr>
        <w:t xml:space="preserve">NeuraX Hackathon 3.0</w:t>
      </w:r>
    </w:p>
    <w:p>
      <w:pPr>
        <w:spacing w:after="260"/>
        <w:jc w:val="center"/>
      </w:pPr>
      <w:r>
        <w:rPr>
          <w:color w:val="5A6472"/>
          <w:sz w:val="22"/>
          <w:szCs w:val="22"/>
        </w:rPr>
        <w:t xml:space="preserve">Domain 2 · AI in Industry and Automation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233F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68"/>
                <w:szCs w:val="68"/>
              </w:rPr>
              <w:t xml:space="preserve">NEXORA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C89B3C"/>
                <w:sz w:val="30"/>
                <w:szCs w:val="30"/>
              </w:rPr>
              <w:t xml:space="preserve">Visual Inspection &amp; Defect Root-Cause Assistant</w:t>
            </w:r>
          </w:p>
          <w:p>
            <w:pPr>
              <w:jc w:val="center"/>
            </w:pPr>
            <w:r>
              <w:rPr>
                <w:i/>
                <w:iCs/>
                <w:color w:val="D7DFEC"/>
                <w:sz w:val="21"/>
                <w:szCs w:val="21"/>
              </w:rPr>
              <w:t xml:space="preserve">A confidence-aware decision-support system connecting vision, process and profit</w:t>
            </w:r>
          </w:p>
        </w:tc>
      </w:tr>
    </w:tbl>
    <w:p>
      <w:pPr>
        <w:spacing w:after="100" w:before="500"/>
      </w:pPr>
    </w:p>
    <w:p>
      <w:pPr>
        <w:spacing w:after="40"/>
        <w:jc w:val="center"/>
      </w:pPr>
      <w:r>
        <w:rPr>
          <w:b/>
          <w:bCs/>
          <w:color w:val="1F5FA8"/>
          <w:sz w:val="24"/>
          <w:szCs w:val="24"/>
        </w:rPr>
        <w:t xml:space="preserve">RESEARCH BRIEF — CHECKPOINT 1</w:t>
      </w:r>
    </w:p>
    <w:p>
      <w:pPr>
        <w:spacing w:before="300"/>
        <w:jc w:val="center"/>
      </w:pPr>
      <w:r>
        <w:rPr>
          <w:color w:val="1A1A1A"/>
          <w:sz w:val="22"/>
          <w:szCs w:val="22"/>
        </w:rPr>
        <w:t xml:space="preserve">Team </w:t>
      </w:r>
      <w:r>
        <w:rPr>
          <w:b/>
          <w:bCs/>
          <w:color w:val="12233F"/>
          <w:sz w:val="22"/>
          <w:szCs w:val="22"/>
        </w:rPr>
        <w:t xml:space="preserve">NEXORA</w:t>
      </w:r>
    </w:p>
    <w:p>
      <w:pPr>
        <w:spacing w:after="4"/>
        <w:jc w:val="center"/>
      </w:pPr>
      <w:r>
        <w:rPr>
          <w:color w:val="1A1A1A"/>
          <w:sz w:val="22"/>
          <w:szCs w:val="22"/>
        </w:rPr>
        <w:t xml:space="preserve">Team Leader: </w:t>
      </w:r>
      <w:r>
        <w:rPr>
          <w:b/>
          <w:bCs/>
          <w:color w:val="12233F"/>
          <w:sz w:val="22"/>
          <w:szCs w:val="22"/>
        </w:rPr>
        <w:t xml:space="preserve">T. Saigeethika</w:t>
      </w:r>
    </w:p>
    <w:p>
      <w:pPr>
        <w:spacing w:after="4"/>
        <w:jc w:val="center"/>
      </w:pPr>
      <w:r>
        <w:rPr>
          <w:color w:val="1A1A1A"/>
          <w:sz w:val="22"/>
          <w:szCs w:val="22"/>
        </w:rPr>
        <w:t xml:space="preserve">Team Size: 3 Members</w:t>
      </w:r>
    </w:p>
    <w:p>
      <w:pPr>
        <w:sectPr>
          <w:pgSz w:w="12240" w:h="15840" w:orient="portrait"/>
          <w:pgMar w:top="1000" w:right="1100" w:bottom="1000" w:left="110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2233F"/>
        </w:rPr>
        <w:t xml:space="preserve">Table of Contents</w:t>
      </w:r>
    </w:p>
    <w:p>
      <w:pPr>
        <w:tabs>
          <w:tab w:val="right" w:pos="9026" w:leader="dot"/>
        </w:tabs>
        <w:spacing w:after="130"/>
      </w:pPr>
      <w:r>
        <w:rPr>
          <w:color w:val="1A1A1A"/>
          <w:sz w:val="22"/>
          <w:szCs w:val="22"/>
        </w:rPr>
        <w:t xml:space="preserve">1.  Executive Summary</w:t>
      </w:r>
    </w:p>
    <w:p>
      <w:pPr>
        <w:tabs>
          <w:tab w:val="right" w:pos="9026" w:leader="dot"/>
        </w:tabs>
        <w:spacing w:after="130"/>
      </w:pPr>
      <w:r>
        <w:rPr>
          <w:color w:val="1A1A1A"/>
          <w:sz w:val="22"/>
          <w:szCs w:val="22"/>
        </w:rPr>
        <w:t xml:space="preserve">2.  Problem Understanding</w:t>
      </w:r>
    </w:p>
    <w:p>
      <w:pPr>
        <w:tabs>
          <w:tab w:val="right" w:pos="9026" w:leader="dot"/>
        </w:tabs>
        <w:spacing w:after="130"/>
      </w:pPr>
      <w:r>
        <w:rPr>
          <w:color w:val="1A1A1A"/>
          <w:sz w:val="22"/>
          <w:szCs w:val="22"/>
        </w:rPr>
        <w:t xml:space="preserve">3.  Research Objectives</w:t>
      </w:r>
    </w:p>
    <w:p>
      <w:pPr>
        <w:tabs>
          <w:tab w:val="right" w:pos="9026" w:leader="dot"/>
        </w:tabs>
        <w:spacing w:after="130"/>
      </w:pPr>
      <w:r>
        <w:rPr>
          <w:color w:val="1A1A1A"/>
          <w:sz w:val="22"/>
          <w:szCs w:val="22"/>
        </w:rPr>
        <w:t xml:space="preserve">4.  Proposed System Architecture</w:t>
      </w:r>
    </w:p>
    <w:p>
      <w:pPr>
        <w:tabs>
          <w:tab w:val="right" w:pos="9026" w:leader="dot"/>
        </w:tabs>
        <w:spacing w:after="130"/>
      </w:pPr>
      <w:r>
        <w:rPr>
          <w:color w:val="1A1A1A"/>
          <w:sz w:val="22"/>
          <w:szCs w:val="22"/>
        </w:rPr>
        <w:t xml:space="preserve">5.  Data Sources</w:t>
      </w:r>
    </w:p>
    <w:p>
      <w:pPr>
        <w:tabs>
          <w:tab w:val="right" w:pos="9026" w:leader="dot"/>
        </w:tabs>
        <w:spacing w:after="130"/>
      </w:pPr>
      <w:r>
        <w:rPr>
          <w:color w:val="1A1A1A"/>
          <w:sz w:val="22"/>
          <w:szCs w:val="22"/>
        </w:rPr>
        <w:t xml:space="preserve">6.  Computer Vision Methodology</w:t>
      </w:r>
    </w:p>
    <w:p>
      <w:pPr>
        <w:tabs>
          <w:tab w:val="right" w:pos="9026" w:leader="dot"/>
        </w:tabs>
        <w:spacing w:after="130"/>
      </w:pPr>
      <w:r>
        <w:rPr>
          <w:color w:val="1A1A1A"/>
          <w:sz w:val="22"/>
          <w:szCs w:val="22"/>
        </w:rPr>
        <w:t xml:space="preserve">7.  Defect Detection and Localization</w:t>
      </w:r>
    </w:p>
    <w:p>
      <w:pPr>
        <w:tabs>
          <w:tab w:val="right" w:pos="9026" w:leader="dot"/>
        </w:tabs>
        <w:spacing w:after="130"/>
      </w:pPr>
      <w:r>
        <w:rPr>
          <w:color w:val="1A1A1A"/>
          <w:sz w:val="22"/>
          <w:szCs w:val="22"/>
        </w:rPr>
        <w:t xml:space="preserve">8.  Confidence-Aware AI</w:t>
      </w:r>
    </w:p>
    <w:p>
      <w:pPr>
        <w:tabs>
          <w:tab w:val="right" w:pos="9026" w:leader="dot"/>
        </w:tabs>
        <w:spacing w:after="130"/>
      </w:pPr>
      <w:r>
        <w:rPr>
          <w:color w:val="1A1A1A"/>
          <w:sz w:val="22"/>
          <w:szCs w:val="22"/>
        </w:rPr>
        <w:t xml:space="preserve">9.  Root-Cause Correlation Engine</w:t>
      </w:r>
    </w:p>
    <w:p>
      <w:pPr>
        <w:tabs>
          <w:tab w:val="right" w:pos="9026" w:leader="dot"/>
        </w:tabs>
        <w:spacing w:after="130"/>
      </w:pPr>
      <w:r>
        <w:rPr>
          <w:color w:val="1A1A1A"/>
          <w:sz w:val="22"/>
          <w:szCs w:val="22"/>
        </w:rPr>
        <w:t xml:space="preserve">10.  Bottleneck Detection</w:t>
      </w:r>
    </w:p>
    <w:p>
      <w:pPr>
        <w:tabs>
          <w:tab w:val="right" w:pos="9026" w:leader="dot"/>
        </w:tabs>
        <w:spacing w:after="130"/>
      </w:pPr>
      <w:r>
        <w:rPr>
          <w:color w:val="1A1A1A"/>
          <w:sz w:val="22"/>
          <w:szCs w:val="22"/>
        </w:rPr>
        <w:t xml:space="preserve">11.  Economic Impact Engine</w:t>
      </w:r>
    </w:p>
    <w:p>
      <w:pPr>
        <w:tabs>
          <w:tab w:val="right" w:pos="9026" w:leader="dot"/>
        </w:tabs>
        <w:spacing w:after="130"/>
      </w:pPr>
      <w:r>
        <w:rPr>
          <w:color w:val="1A1A1A"/>
          <w:sz w:val="22"/>
          <w:szCs w:val="22"/>
        </w:rPr>
        <w:t xml:space="preserve">12.  Throughput Analysis</w:t>
      </w:r>
    </w:p>
    <w:p>
      <w:pPr>
        <w:tabs>
          <w:tab w:val="right" w:pos="9026" w:leader="dot"/>
        </w:tabs>
        <w:spacing w:after="130"/>
      </w:pPr>
      <w:r>
        <w:rPr>
          <w:color w:val="1A1A1A"/>
          <w:sz w:val="22"/>
          <w:szCs w:val="22"/>
        </w:rPr>
        <w:t xml:space="preserve">13.  What-If Simulation</w:t>
      </w:r>
    </w:p>
    <w:p>
      <w:pPr>
        <w:tabs>
          <w:tab w:val="right" w:pos="9026" w:leader="dot"/>
        </w:tabs>
        <w:spacing w:after="130"/>
      </w:pPr>
      <w:r>
        <w:rPr>
          <w:color w:val="1A1A1A"/>
          <w:sz w:val="22"/>
          <w:szCs w:val="22"/>
        </w:rPr>
        <w:t xml:space="preserve">14.  Explainability Layer</w:t>
      </w:r>
    </w:p>
    <w:p>
      <w:pPr>
        <w:tabs>
          <w:tab w:val="right" w:pos="9026" w:leader="dot"/>
        </w:tabs>
        <w:spacing w:after="130"/>
      </w:pPr>
      <w:r>
        <w:rPr>
          <w:color w:val="1A1A1A"/>
          <w:sz w:val="22"/>
          <w:szCs w:val="22"/>
        </w:rPr>
        <w:t xml:space="preserve">15.  Proposed Dashboard</w:t>
      </w:r>
    </w:p>
    <w:p>
      <w:pPr>
        <w:tabs>
          <w:tab w:val="right" w:pos="9026" w:leader="dot"/>
        </w:tabs>
        <w:spacing w:after="130"/>
      </w:pPr>
      <w:r>
        <w:rPr>
          <w:color w:val="1A1A1A"/>
          <w:sz w:val="22"/>
          <w:szCs w:val="22"/>
        </w:rPr>
        <w:t xml:space="preserve">16.  Technology Stack</w:t>
      </w:r>
    </w:p>
    <w:p>
      <w:pPr>
        <w:tabs>
          <w:tab w:val="right" w:pos="9026" w:leader="dot"/>
        </w:tabs>
        <w:spacing w:after="130"/>
      </w:pPr>
      <w:r>
        <w:rPr>
          <w:color w:val="1A1A1A"/>
          <w:sz w:val="22"/>
          <w:szCs w:val="22"/>
        </w:rPr>
        <w:t xml:space="preserve">17.  Evaluation Strategy</w:t>
      </w:r>
    </w:p>
    <w:p>
      <w:pPr>
        <w:tabs>
          <w:tab w:val="right" w:pos="9026" w:leader="dot"/>
        </w:tabs>
        <w:spacing w:after="130"/>
      </w:pPr>
      <w:r>
        <w:rPr>
          <w:color w:val="1A1A1A"/>
          <w:sz w:val="22"/>
          <w:szCs w:val="22"/>
        </w:rPr>
        <w:t xml:space="preserve">18.  Robustness to Unseen Conditions</w:t>
      </w:r>
    </w:p>
    <w:p>
      <w:pPr>
        <w:tabs>
          <w:tab w:val="right" w:pos="9026" w:leader="dot"/>
        </w:tabs>
        <w:spacing w:after="130"/>
      </w:pPr>
      <w:r>
        <w:rPr>
          <w:color w:val="1A1A1A"/>
          <w:sz w:val="22"/>
          <w:szCs w:val="22"/>
        </w:rPr>
        <w:t xml:space="preserve">19.  Research Reference Dataset</w:t>
      </w:r>
    </w:p>
    <w:p>
      <w:pPr>
        <w:tabs>
          <w:tab w:val="right" w:pos="9026" w:leader="dot"/>
        </w:tabs>
        <w:spacing w:after="130"/>
      </w:pPr>
      <w:r>
        <w:rPr>
          <w:color w:val="1A1A1A"/>
          <w:sz w:val="22"/>
          <w:szCs w:val="22"/>
        </w:rPr>
        <w:t xml:space="preserve">20.  Limitations and Assumptions</w:t>
      </w:r>
    </w:p>
    <w:p>
      <w:pPr>
        <w:tabs>
          <w:tab w:val="right" w:pos="9026" w:leader="dot"/>
        </w:tabs>
        <w:spacing w:after="130"/>
      </w:pPr>
      <w:r>
        <w:rPr>
          <w:color w:val="1A1A1A"/>
          <w:sz w:val="22"/>
          <w:szCs w:val="22"/>
        </w:rPr>
        <w:t xml:space="preserve">21.  Responsible AI and Industrial Safety</w:t>
      </w:r>
    </w:p>
    <w:p>
      <w:pPr>
        <w:tabs>
          <w:tab w:val="right" w:pos="9026" w:leader="dot"/>
        </w:tabs>
        <w:spacing w:after="130"/>
      </w:pPr>
      <w:r>
        <w:rPr>
          <w:color w:val="1A1A1A"/>
          <w:sz w:val="22"/>
          <w:szCs w:val="22"/>
        </w:rPr>
        <w:t xml:space="preserve">22.  Expected System Output</w:t>
      </w:r>
    </w:p>
    <w:p>
      <w:pPr>
        <w:tabs>
          <w:tab w:val="right" w:pos="9026" w:leader="dot"/>
        </w:tabs>
        <w:spacing w:after="130"/>
      </w:pPr>
      <w:r>
        <w:rPr>
          <w:color w:val="1A1A1A"/>
          <w:sz w:val="22"/>
          <w:szCs w:val="22"/>
        </w:rPr>
        <w:t xml:space="preserve">23.  Key Innovation</w:t>
      </w:r>
    </w:p>
    <w:p>
      <w:pPr>
        <w:tabs>
          <w:tab w:val="right" w:pos="9026" w:leader="dot"/>
        </w:tabs>
        <w:spacing w:after="130"/>
      </w:pPr>
      <w:r>
        <w:rPr>
          <w:color w:val="1A1A1A"/>
          <w:sz w:val="22"/>
          <w:szCs w:val="22"/>
        </w:rPr>
        <w:t xml:space="preserve">24.  Proposed Team Implementation</w:t>
      </w:r>
    </w:p>
    <w:p>
      <w:pPr>
        <w:tabs>
          <w:tab w:val="right" w:pos="9026" w:leader="dot"/>
        </w:tabs>
        <w:spacing w:after="130"/>
      </w:pPr>
      <w:r>
        <w:rPr>
          <w:color w:val="1A1A1A"/>
          <w:sz w:val="22"/>
          <w:szCs w:val="22"/>
        </w:rPr>
        <w:t xml:space="preserve">25.  Proposed Development Workflow</w:t>
      </w:r>
    </w:p>
    <w:p>
      <w:pPr>
        <w:tabs>
          <w:tab w:val="right" w:pos="9026" w:leader="dot"/>
        </w:tabs>
        <w:spacing w:after="130"/>
      </w:pPr>
      <w:r>
        <w:rPr>
          <w:color w:val="1A1A1A"/>
          <w:sz w:val="22"/>
          <w:szCs w:val="22"/>
        </w:rPr>
        <w:t xml:space="preserve">26.  Conclusion</w:t>
      </w:r>
    </w:p>
    <w:p>
      <w:pPr>
        <w:tabs>
          <w:tab w:val="right" w:pos="9026" w:leader="dot"/>
        </w:tabs>
        <w:spacing w:after="130"/>
      </w:pPr>
      <w:r>
        <w:rPr>
          <w:color w:val="1A1A1A"/>
          <w:sz w:val="22"/>
          <w:szCs w:val="22"/>
        </w:rPr>
        <w:t xml:space="preserve">27.  References</w:t>
      </w:r>
    </w:p>
    <w:p>
      <w:r>
        <w:br w:type="page"/>
      </w:r>
    </w:p>
    <w:p>
      <w:pPr>
        <w:pStyle w:val="Heading1"/>
        <w:pBdr>
          <w:bottom w:val="single" w:color="1F5FA8" w:sz="8" w:space="6"/>
        </w:pBdr>
        <w:spacing w:after="180" w:before="400"/>
      </w:pPr>
      <w:r>
        <w:rPr>
          <w:b/>
          <w:bCs/>
          <w:color w:val="1F5FA8"/>
        </w:rPr>
        <w:t xml:space="preserve">1.  </w:t>
      </w:r>
      <w:r>
        <w:rPr>
          <w:b/>
          <w:bCs/>
          <w:color w:val="12233F"/>
        </w:rPr>
        <w:t xml:space="preserve">Executive Summary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Manufacturing plants generate huge volumes of inspection, production and cost data — but quality, process and economics are usually analyzed separately, making it hard to see how one defect affects throughput and profit.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NEXORA is a unified decision-support system that combines computer vision, production analytics, root-cause correlation, bottleneck detection and economic impact estimation into one explainable workflow, answering five questions: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What is wrong with the product?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Where is the defect located?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What process conditions may be contributing to it?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Where is the production flow constrained?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What is the resulting impact on throughput, cost and profitability?</w:t>
      </w:r>
    </w:p>
    <w:p>
      <w:pPr>
        <w:spacing w:after="80"/>
      </w:pP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The system is confidence-aware — uncertain cases are flagged for review — and all recommendations are simulated/advisory, never direct machine control.</w:t>
      </w:r>
    </w:p>
    <w:p>
      <w:pPr>
        <w:pStyle w:val="Heading1"/>
        <w:pBdr>
          <w:bottom w:val="single" w:color="1F5FA8" w:sz="8" w:space="6"/>
        </w:pBdr>
        <w:spacing w:after="180" w:before="400"/>
      </w:pPr>
      <w:r>
        <w:rPr>
          <w:b/>
          <w:bCs/>
          <w:color w:val="1F5FA8"/>
        </w:rPr>
        <w:t xml:space="preserve">2.  </w:t>
      </w:r>
      <w:r>
        <w:rPr>
          <w:b/>
          <w:bCs/>
          <w:color w:val="12233F"/>
        </w:rPr>
        <w:t xml:space="preserve">Problem Understanding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Product quality, capacity, process conditions and economics are interconnected: a defect is rarely just an image-level problem — it may trace back to a machine, station, batch or process condition. Most industrial AI stops at a single link:</w:t>
      </w:r>
    </w:p>
    <w:tbl>
      <w:tblPr>
        <w:tblW w:type="pct" w:w="100%"/>
        <w:tblBorders>
          <w:top w:val="single" w:color="C0504D" w:sz="4"/>
          <w:left w:val="single" w:color="C0504D" w:sz="24"/>
          <w:bottom w:val="single" w:color="C0504D" w:sz="4"/>
          <w:right w:val="single" w:color="C0504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EA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b/>
                <w:bCs/>
                <w:color w:val="5A6472"/>
                <w:sz w:val="22"/>
                <w:szCs w:val="22"/>
              </w:rPr>
              <w:t xml:space="preserve">IMAGE → DEFECT</w:t>
            </w:r>
          </w:p>
        </w:tc>
      </w:tr>
    </w:tbl>
    <w:p>
      <w:pPr>
        <w:spacing w:after="60"/>
      </w:pP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NEXORA extends this to a full evidentiary chain:</w:t>
      </w:r>
    </w:p>
    <w:tbl>
      <w:tblPr>
        <w:tblW w:type="pct" w:w="100%"/>
        <w:tblBorders>
          <w:top w:val="single" w:color="0E8C8C" w:sz="4"/>
          <w:left w:val="single" w:color="0E8C8C" w:sz="24"/>
          <w:bottom w:val="single" w:color="0E8C8C" w:sz="4"/>
          <w:right w:val="single" w:color="0E8C8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2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b/>
                <w:bCs/>
                <w:color w:val="12233F"/>
                <w:sz w:val="18"/>
                <w:szCs w:val="18"/>
              </w:rPr>
              <w:t xml:space="preserve">IMAGE → DEFECT → LOCATION → PROCESS CONTEXT → ROOT-CAUSE → BOTTLENECK → ECONOMIC IMPACT → RECOMMENDATION</w:t>
            </w:r>
          </w:p>
        </w:tc>
      </w:tr>
    </w:tbl>
    <w:p>
      <w:pPr>
        <w:pStyle w:val="Heading1"/>
        <w:pBdr>
          <w:bottom w:val="single" w:color="1F5FA8" w:sz="8" w:space="6"/>
        </w:pBdr>
        <w:spacing w:after="180" w:before="400"/>
      </w:pPr>
      <w:r>
        <w:rPr>
          <w:b/>
          <w:bCs/>
          <w:color w:val="1F5FA8"/>
        </w:rPr>
        <w:t xml:space="preserve">3.  </w:t>
      </w:r>
      <w:r>
        <w:rPr>
          <w:b/>
          <w:bCs/>
          <w:color w:val="12233F"/>
        </w:rPr>
        <w:t xml:space="preserve">Research Objectives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  <w:color w:val="12233F"/>
          <w:sz w:val="22"/>
          <w:szCs w:val="22"/>
        </w:rPr>
        <w:t xml:space="preserve">Defect Detection — </w:t>
      </w:r>
      <w:r>
        <w:rPr>
          <w:color w:val="1A1A1A"/>
          <w:sz w:val="22"/>
          <w:szCs w:val="22"/>
        </w:rPr>
        <w:t xml:space="preserve">classify products via computer vision.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  <w:color w:val="12233F"/>
          <w:sz w:val="22"/>
          <w:szCs w:val="22"/>
        </w:rPr>
        <w:t xml:space="preserve">Defect Localization — </w:t>
      </w:r>
      <w:r>
        <w:rPr>
          <w:color w:val="1A1A1A"/>
          <w:sz w:val="22"/>
          <w:szCs w:val="22"/>
        </w:rPr>
        <w:t xml:space="preserve">identify defect region where data supports it.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  <w:color w:val="12233F"/>
          <w:sz w:val="22"/>
          <w:szCs w:val="22"/>
        </w:rPr>
        <w:t xml:space="preserve">Uncertainty Handling — </w:t>
      </w:r>
      <w:r>
        <w:rPr>
          <w:color w:val="1A1A1A"/>
          <w:sz w:val="22"/>
          <w:szCs w:val="22"/>
        </w:rPr>
        <w:t xml:space="preserve">flag low-confidence / novel cases for review.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  <w:color w:val="12233F"/>
          <w:sz w:val="22"/>
          <w:szCs w:val="22"/>
        </w:rPr>
        <w:t xml:space="preserve">Root-Cause Correlation — </w:t>
      </w:r>
      <w:r>
        <w:rPr>
          <w:color w:val="1A1A1A"/>
          <w:sz w:val="22"/>
          <w:szCs w:val="22"/>
        </w:rPr>
        <w:t xml:space="preserve">link defects to process conditions.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  <w:color w:val="12233F"/>
          <w:sz w:val="22"/>
          <w:szCs w:val="22"/>
        </w:rPr>
        <w:t xml:space="preserve">Bottleneck Identification — </w:t>
      </w:r>
      <w:r>
        <w:rPr>
          <w:color w:val="1A1A1A"/>
          <w:sz w:val="22"/>
          <w:szCs w:val="22"/>
        </w:rPr>
        <w:t xml:space="preserve">flag stations that constrain throughput.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  <w:color w:val="12233F"/>
          <w:sz w:val="22"/>
          <w:szCs w:val="22"/>
        </w:rPr>
        <w:t xml:space="preserve">Economic Impact Estimation — </w:t>
      </w:r>
      <w:r>
        <w:rPr>
          <w:color w:val="1A1A1A"/>
          <w:sz w:val="22"/>
          <w:szCs w:val="22"/>
        </w:rPr>
        <w:t xml:space="preserve">quantify scrap, rework, downtime cost.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  <w:color w:val="12233F"/>
          <w:sz w:val="22"/>
          <w:szCs w:val="22"/>
        </w:rPr>
        <w:t xml:space="preserve">Advisory Recommendations — </w:t>
      </w:r>
      <w:r>
        <w:rPr>
          <w:color w:val="1A1A1A"/>
          <w:sz w:val="22"/>
          <w:szCs w:val="22"/>
        </w:rPr>
        <w:t xml:space="preserve">evidence-based, simulated suggestions.</w:t>
      </w:r>
    </w:p>
    <w:p>
      <w:pPr>
        <w:pStyle w:val="Heading1"/>
        <w:pBdr>
          <w:bottom w:val="single" w:color="1F5FA8" w:sz="8" w:space="6"/>
        </w:pBdr>
        <w:spacing w:after="180" w:before="400"/>
      </w:pPr>
      <w:r>
        <w:rPr>
          <w:b/>
          <w:bCs/>
          <w:color w:val="1F5FA8"/>
        </w:rPr>
        <w:t xml:space="preserve">4.  </w:t>
      </w:r>
      <w:r>
        <w:rPr>
          <w:b/>
          <w:bCs/>
          <w:color w:val="12233F"/>
        </w:rPr>
        <w:t xml:space="preserve">Proposed System Architecture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Five cooperating layers take raw inspection, production and economic data through to an explainable, decision-ready output.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A6472"/>
          <w:sz w:val="18"/>
          <w:szCs w:val="18"/>
        </w:rPr>
        <w:t xml:space="preserve">Figure 1 — End-to-end system architecture.</w:t>
      </w:r>
    </w:p>
    <w:p>
      <w:pPr>
        <w:pStyle w:val="Heading1"/>
        <w:pBdr>
          <w:bottom w:val="single" w:color="1F5FA8" w:sz="8" w:space="6"/>
        </w:pBdr>
        <w:spacing w:after="180" w:before="400"/>
      </w:pPr>
      <w:r>
        <w:rPr>
          <w:b/>
          <w:bCs/>
          <w:color w:val="1F5FA8"/>
        </w:rPr>
        <w:t xml:space="preserve">5.  </w:t>
      </w:r>
      <w:r>
        <w:rPr>
          <w:b/>
          <w:bCs/>
          <w:color w:val="12233F"/>
        </w:rPr>
        <w:t xml:space="preserve">Data Sources</w:t>
      </w:r>
    </w:p>
    <w:p>
      <w:pPr>
        <w:pStyle w:val="Heading2"/>
        <w:spacing w:after="120" w:before="260"/>
      </w:pPr>
      <w:r>
        <w:rPr>
          <w:b/>
          <w:bCs/>
          <w:color w:val="1F5FA8"/>
        </w:rPr>
        <w:t xml:space="preserve">5.1  Inspection Data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Product ID, image, defect label, defect location, batch ID, timestamp, confidence.</w:t>
      </w:r>
    </w:p>
    <w:p>
      <w:pPr>
        <w:pStyle w:val="Heading2"/>
        <w:spacing w:after="120" w:before="260"/>
      </w:pPr>
      <w:r>
        <w:rPr>
          <w:b/>
          <w:bCs/>
          <w:color w:val="1F5FA8"/>
        </w:rPr>
        <w:t xml:space="preserve">5.2  Production Data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Station ID, machine ID, batch ID, cycle time, downtime, WIP, utilization, changeover time, throughput.</w:t>
      </w:r>
    </w:p>
    <w:p>
      <w:pPr>
        <w:pStyle w:val="Heading2"/>
        <w:spacing w:after="120" w:before="260"/>
      </w:pPr>
      <w:r>
        <w:rPr>
          <w:b/>
          <w:bCs/>
          <w:color w:val="1F5FA8"/>
        </w:rPr>
        <w:t xml:space="preserve">5.3  Economic Data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Unit production cost, scrap cost, rework cost, downtime cost, revenue per acceptable product, production loss, batch cost, margin.</w:t>
      </w:r>
    </w:p>
    <w:p>
      <w:pPr>
        <w:pStyle w:val="Heading1"/>
        <w:pBdr>
          <w:bottom w:val="single" w:color="1F5FA8" w:sz="8" w:space="6"/>
        </w:pBdr>
        <w:spacing w:after="180" w:before="400"/>
      </w:pPr>
      <w:r>
        <w:rPr>
          <w:b/>
          <w:bCs/>
          <w:color w:val="1F5FA8"/>
        </w:rPr>
        <w:t xml:space="preserve">6.  </w:t>
      </w:r>
      <w:r>
        <w:rPr>
          <w:b/>
          <w:bCs/>
          <w:color w:val="12233F"/>
        </w:rPr>
        <w:t xml:space="preserve">Computer Vision Methodology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The vision module understands the visual condition of each product, producing structured, evidence-backed output — not just a pass/fail verdict.</w:t>
      </w:r>
    </w:p>
    <w:p>
      <w:pPr>
        <w:pStyle w:val="Heading1"/>
        <w:pBdr>
          <w:bottom w:val="single" w:color="1F5FA8" w:sz="8" w:space="6"/>
        </w:pBdr>
        <w:spacing w:after="180" w:before="400"/>
      </w:pPr>
      <w:r>
        <w:rPr>
          <w:b/>
          <w:bCs/>
          <w:color w:val="1F5FA8"/>
        </w:rPr>
        <w:t xml:space="preserve">7.  </w:t>
      </w:r>
      <w:r>
        <w:rPr>
          <w:b/>
          <w:bCs/>
          <w:color w:val="12233F"/>
        </w:rPr>
        <w:t xml:space="preserve">Defect Detection and Localization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124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A6472"/>
          <w:sz w:val="18"/>
          <w:szCs w:val="18"/>
        </w:rPr>
        <w:t xml:space="preserve">Figure 2 — Defect detection and localization pipeline.</w:t>
      </w:r>
    </w:p>
    <w:tbl>
      <w:tblPr>
        <w:tblW w:type="pct" w:w="100%"/>
        <w:tblBorders>
          <w:top w:val="single" w:color="12233F" w:sz="4"/>
          <w:left w:val="single" w:color="12233F" w:sz="24"/>
          <w:bottom w:val="single" w:color="12233F" w:sz="4"/>
          <w:right w:val="single" w:color="12233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2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onsolas" w:cs="Consolas" w:eastAsia="Consolas" w:hAnsi="Consolas"/>
                <w:color w:val="12233F"/>
                <w:sz w:val="17"/>
                <w:szCs w:val="17"/>
              </w:rPr>
              <w:t xml:space="preserve">{ "product_id": "P001", "status": "defective", "defect_type": "scratch", "confidence": 0.94, "location": [120, 80, 240, 160] }</w:t>
            </w:r>
          </w:p>
        </w:tc>
      </w:tr>
    </w:tbl>
    <w:p>
      <w:pPr>
        <w:pStyle w:val="Heading1"/>
        <w:pBdr>
          <w:bottom w:val="single" w:color="1F5FA8" w:sz="8" w:space="6"/>
        </w:pBdr>
        <w:spacing w:after="180" w:before="400"/>
      </w:pPr>
      <w:r>
        <w:rPr>
          <w:b/>
          <w:bCs/>
          <w:color w:val="1F5FA8"/>
        </w:rPr>
        <w:t xml:space="preserve">8.  </w:t>
      </w:r>
      <w:r>
        <w:rPr>
          <w:b/>
          <w:bCs/>
          <w:color w:val="12233F"/>
        </w:rPr>
        <w:t xml:space="preserve">Confidence-Aware AI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Predictions above threshold are accepted automatically; predictions below it are routed to a human reviewer instead of being forced into a guess.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A6472"/>
          <w:sz w:val="18"/>
          <w:szCs w:val="18"/>
        </w:rPr>
        <w:t xml:space="preserve">Figure 3 — Confidence-based routing.</w:t>
      </w:r>
    </w:p>
    <w:p>
      <w:pPr>
        <w:pStyle w:val="Heading1"/>
        <w:pBdr>
          <w:bottom w:val="single" w:color="1F5FA8" w:sz="8" w:space="6"/>
        </w:pBdr>
        <w:spacing w:after="180" w:before="400"/>
      </w:pPr>
      <w:r>
        <w:rPr>
          <w:b/>
          <w:bCs/>
          <w:color w:val="1F5FA8"/>
        </w:rPr>
        <w:t xml:space="preserve">9.  </w:t>
      </w:r>
      <w:r>
        <w:rPr>
          <w:b/>
          <w:bCs/>
          <w:color w:val="12233F"/>
        </w:rPr>
        <w:t xml:space="preserve">Root-Cause Correlation Engine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Links visual defects back to the machine, station, batch and operating conditions active at the time — surfacing statistically associated factors.</w:t>
      </w:r>
    </w:p>
    <w:p>
      <w:pPr>
        <w:pStyle w:val="Heading1"/>
        <w:pBdr>
          <w:bottom w:val="single" w:color="1F5FA8" w:sz="8" w:space="6"/>
        </w:pBdr>
        <w:spacing w:after="180" w:before="400"/>
      </w:pPr>
      <w:r>
        <w:rPr>
          <w:b/>
          <w:bCs/>
          <w:color w:val="1F5FA8"/>
        </w:rPr>
        <w:t xml:space="preserve">10.  </w:t>
      </w:r>
      <w:r>
        <w:rPr>
          <w:b/>
          <w:bCs/>
          <w:color w:val="12233F"/>
        </w:rPr>
        <w:t xml:space="preserve">Bottleneck Detection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Tracks processing time, cycle time, waiting time, WIP, downtime and utilization per station, combining them into one interpretable bottleneck indicator.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154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A6472"/>
          <w:sz w:val="18"/>
          <w:szCs w:val="18"/>
        </w:rPr>
        <w:t xml:space="preserve">Figure 4 — Bottleneck signal combination.</w:t>
      </w:r>
    </w:p>
    <w:p>
      <w:pPr>
        <w:pStyle w:val="Heading1"/>
        <w:pBdr>
          <w:bottom w:val="single" w:color="1F5FA8" w:sz="8" w:space="6"/>
        </w:pBdr>
        <w:spacing w:after="180" w:before="400"/>
      </w:pPr>
      <w:r>
        <w:rPr>
          <w:b/>
          <w:bCs/>
          <w:color w:val="1F5FA8"/>
        </w:rPr>
        <w:t xml:space="preserve">11.  </w:t>
      </w:r>
      <w:r>
        <w:rPr>
          <w:b/>
          <w:bCs/>
          <w:color w:val="12233F"/>
        </w:rPr>
        <w:t xml:space="preserve">Economic Impact Engine</w:t>
      </w:r>
    </w:p>
    <w:tbl>
      <w:tblPr>
        <w:tblW w:type="pct" w:w="100%"/>
        <w:tblBorders>
          <w:top w:val="single" w:color="C89B3C" w:sz="4"/>
          <w:left w:val="single" w:color="C89B3C" w:sz="24"/>
          <w:bottom w:val="single" w:color="C89B3C" w:sz="4"/>
          <w:right w:val="single" w:color="C89B3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2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b/>
                <w:bCs/>
                <w:color w:val="12233F"/>
                <w:sz w:val="19"/>
                <w:szCs w:val="19"/>
              </w:rPr>
              <w:t xml:space="preserve">Total Loss ≈ Scrap + Rework + Downtime Cost + Est. Lost Production Value</w:t>
            </w:r>
          </w:p>
        </w:tc>
      </w:tr>
    </w:tbl>
    <w:p>
      <w:pPr>
        <w:pStyle w:val="Heading1"/>
        <w:pBdr>
          <w:bottom w:val="single" w:color="1F5FA8" w:sz="8" w:space="6"/>
        </w:pBdr>
        <w:spacing w:after="180" w:before="400"/>
      </w:pPr>
      <w:r>
        <w:rPr>
          <w:b/>
          <w:bCs/>
          <w:color w:val="1F5FA8"/>
        </w:rPr>
        <w:t xml:space="preserve">12.  </w:t>
      </w:r>
      <w:r>
        <w:rPr>
          <w:b/>
          <w:bCs/>
          <w:color w:val="12233F"/>
        </w:rPr>
        <w:t xml:space="preserve">Throughput Analysis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0"/>
        <w:gridCol w:w="3750"/>
      </w:tblGrid>
      <w:tr>
        <w:trPr>
          <w:tblHeader/>
        </w:trPr>
        <w:tc>
          <w:tcPr>
            <w:tcW w:type="dxa" w:w="5250"/>
            <w:shd w:fill="12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750"/>
            <w:shd w:fill="12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25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375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1,000 units</w:t>
            </w:r>
          </w:p>
        </w:tc>
      </w:tr>
      <w:tr>
        <w:tc>
          <w:tcPr>
            <w:tcW w:type="dxa" w:w="525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Acceptable output</w:t>
            </w:r>
          </w:p>
        </w:tc>
        <w:tc>
          <w:tcPr>
            <w:tcW w:type="dxa" w:w="375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910 units</w:t>
            </w:r>
          </w:p>
        </w:tc>
      </w:tr>
      <w:tr>
        <w:tc>
          <w:tcPr>
            <w:tcW w:type="dxa" w:w="525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Effective yield</w:t>
            </w:r>
          </w:p>
        </w:tc>
        <w:tc>
          <w:tcPr>
            <w:tcW w:type="dxa" w:w="375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91%</w:t>
            </w:r>
          </w:p>
        </w:tc>
      </w:tr>
    </w:tbl>
    <w:p>
      <w:pPr>
        <w:pStyle w:val="Heading1"/>
        <w:pBdr>
          <w:bottom w:val="single" w:color="1F5FA8" w:sz="8" w:space="6"/>
        </w:pBdr>
        <w:spacing w:after="180" w:before="400"/>
      </w:pPr>
      <w:r>
        <w:rPr>
          <w:b/>
          <w:bCs/>
          <w:color w:val="1F5FA8"/>
        </w:rPr>
        <w:t xml:space="preserve">13.  </w:t>
      </w:r>
      <w:r>
        <w:rPr>
          <w:b/>
          <w:bCs/>
          <w:color w:val="12233F"/>
        </w:rPr>
        <w:t xml:space="preserve">What-If Simulation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2647"/>
        <w:gridCol w:w="2647"/>
      </w:tblGrid>
      <w:tr>
        <w:trPr>
          <w:tblHeader/>
        </w:trPr>
        <w:tc>
          <w:tcPr>
            <w:tcW w:type="dxa" w:w="3706"/>
            <w:shd w:fill="12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47"/>
            <w:shd w:fill="12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647"/>
            <w:shd w:fill="12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Simulated</w:t>
            </w:r>
          </w:p>
        </w:tc>
      </w:tr>
      <w:tr>
        <w:tc>
          <w:tcPr>
            <w:tcW w:type="dxa" w:w="3706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Cycle Time</w:t>
            </w:r>
          </w:p>
        </w:tc>
        <w:tc>
          <w:tcPr>
            <w:tcW w:type="dxa" w:w="26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12 sec</w:t>
            </w:r>
          </w:p>
        </w:tc>
        <w:tc>
          <w:tcPr>
            <w:tcW w:type="dxa" w:w="26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10 sec</w:t>
            </w:r>
          </w:p>
        </w:tc>
      </w:tr>
      <w:tr>
        <w:tc>
          <w:tcPr>
            <w:tcW w:type="dxa" w:w="3706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Defect Rate</w:t>
            </w:r>
          </w:p>
        </w:tc>
        <w:tc>
          <w:tcPr>
            <w:tcW w:type="dxa" w:w="2647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8%</w:t>
            </w:r>
          </w:p>
        </w:tc>
        <w:tc>
          <w:tcPr>
            <w:tcW w:type="dxa" w:w="2647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3706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Expected Throughput / Loss / Margin</w:t>
            </w:r>
          </w:p>
        </w:tc>
        <w:tc>
          <w:tcPr>
            <w:tcW w:type="dxa" w:w="26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X</w:t>
            </w:r>
          </w:p>
        </w:tc>
        <w:tc>
          <w:tcPr>
            <w:tcW w:type="dxa" w:w="26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Y</w:t>
            </w:r>
          </w:p>
        </w:tc>
      </w:tr>
    </w:tbl>
    <w:p>
      <w:pPr>
        <w:pStyle w:val="Heading1"/>
        <w:pBdr>
          <w:bottom w:val="single" w:color="1F5FA8" w:sz="8" w:space="6"/>
        </w:pBdr>
        <w:spacing w:after="180" w:before="400"/>
      </w:pPr>
      <w:r>
        <w:rPr>
          <w:b/>
          <w:bCs/>
          <w:color w:val="1F5FA8"/>
        </w:rPr>
        <w:t xml:space="preserve">14.  </w:t>
      </w:r>
      <w:r>
        <w:rPr>
          <w:b/>
          <w:bCs/>
          <w:color w:val="12233F"/>
        </w:rPr>
        <w:t xml:space="preserve">Explainability Layer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Every output shows prediction, evidence, confidence, process context, economic impact and recommendation — never a black-box verdict.</w:t>
      </w:r>
    </w:p>
    <w:p>
      <w:pPr>
        <w:pStyle w:val="Heading1"/>
        <w:pBdr>
          <w:bottom w:val="single" w:color="1F5FA8" w:sz="8" w:space="6"/>
        </w:pBdr>
        <w:spacing w:after="180" w:before="400"/>
      </w:pPr>
      <w:r>
        <w:rPr>
          <w:b/>
          <w:bCs/>
          <w:color w:val="1F5FA8"/>
        </w:rPr>
        <w:t xml:space="preserve">15.  </w:t>
      </w:r>
      <w:r>
        <w:rPr>
          <w:b/>
          <w:bCs/>
          <w:color w:val="12233F"/>
        </w:rPr>
        <w:t xml:space="preserve">Proposed Dashboard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  <w:color w:val="12233F"/>
          <w:sz w:val="22"/>
          <w:szCs w:val="22"/>
        </w:rPr>
        <w:t xml:space="preserve">Quality Intelligence — </w:t>
      </w:r>
      <w:r>
        <w:rPr>
          <w:color w:val="1A1A1A"/>
          <w:sz w:val="22"/>
          <w:szCs w:val="22"/>
        </w:rPr>
        <w:t xml:space="preserve">image, defect type/location, confidence, status.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  <w:color w:val="12233F"/>
          <w:sz w:val="22"/>
          <w:szCs w:val="22"/>
        </w:rPr>
        <w:t xml:space="preserve">Root-Cause Intelligence — </w:t>
      </w:r>
      <w:r>
        <w:rPr>
          <w:color w:val="1A1A1A"/>
          <w:sz w:val="22"/>
          <w:szCs w:val="22"/>
        </w:rPr>
        <w:t xml:space="preserve">defect frequency &amp; process associations.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  <w:color w:val="12233F"/>
          <w:sz w:val="22"/>
          <w:szCs w:val="22"/>
        </w:rPr>
        <w:t xml:space="preserve">Production Intelligence — </w:t>
      </w:r>
      <w:r>
        <w:rPr>
          <w:color w:val="1A1A1A"/>
          <w:sz w:val="22"/>
          <w:szCs w:val="22"/>
        </w:rPr>
        <w:t xml:space="preserve">utilization, cycle time, WIP, bottlenecks.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  <w:color w:val="12233F"/>
          <w:sz w:val="22"/>
          <w:szCs w:val="22"/>
        </w:rPr>
        <w:t xml:space="preserve">Economic Intelligence — </w:t>
      </w:r>
      <w:r>
        <w:rPr>
          <w:color w:val="1A1A1A"/>
          <w:sz w:val="22"/>
          <w:szCs w:val="22"/>
        </w:rPr>
        <w:t xml:space="preserve">scrap/rework/downtime cost, margin impact.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  <w:color w:val="12233F"/>
          <w:sz w:val="22"/>
          <w:szCs w:val="22"/>
        </w:rPr>
        <w:t xml:space="preserve">Decision / What-If View — </w:t>
      </w:r>
      <w:r>
        <w:rPr>
          <w:color w:val="1A1A1A"/>
          <w:sz w:val="22"/>
          <w:szCs w:val="22"/>
        </w:rPr>
        <w:t xml:space="preserve">current state vs. simulated outcome.</w:t>
      </w:r>
    </w:p>
    <w:p>
      <w:pPr>
        <w:pStyle w:val="Heading1"/>
        <w:pBdr>
          <w:bottom w:val="single" w:color="1F5FA8" w:sz="8" w:space="6"/>
        </w:pBdr>
        <w:spacing w:after="180" w:before="400"/>
      </w:pPr>
      <w:r>
        <w:rPr>
          <w:b/>
          <w:bCs/>
          <w:color w:val="1F5FA8"/>
        </w:rPr>
        <w:t xml:space="preserve">16.  </w:t>
      </w:r>
      <w:r>
        <w:rPr>
          <w:b/>
          <w:bCs/>
          <w:color w:val="12233F"/>
        </w:rPr>
        <w:t xml:space="preserve">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shd w:fill="12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53"/>
            <w:shd w:fill="12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26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Language</w:t>
            </w:r>
          </w:p>
        </w:tc>
        <w:tc>
          <w:tcPr>
            <w:tcW w:type="dxa" w:w="6353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2647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Computer Vision</w:t>
            </w:r>
          </w:p>
        </w:tc>
        <w:tc>
          <w:tcPr>
            <w:tcW w:type="dxa" w:w="6353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OpenCV, PyTorch, YOLO/Ultralytics</w:t>
            </w:r>
          </w:p>
        </w:tc>
      </w:tr>
      <w:tr>
        <w:tc>
          <w:tcPr>
            <w:tcW w:type="dxa" w:w="26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Analytics</w:t>
            </w:r>
          </w:p>
        </w:tc>
        <w:tc>
          <w:tcPr>
            <w:tcW w:type="dxa" w:w="6353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Pandas, NumPy, Scikit-learn</w:t>
            </w:r>
          </w:p>
        </w:tc>
      </w:tr>
      <w:tr>
        <w:tc>
          <w:tcPr>
            <w:tcW w:type="dxa" w:w="2647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Visualization / Dashboard</w:t>
            </w:r>
          </w:p>
        </w:tc>
        <w:tc>
          <w:tcPr>
            <w:tcW w:type="dxa" w:w="6353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Plotly, Matplotlib, Streamlit</w:t>
            </w:r>
          </w:p>
        </w:tc>
      </w:tr>
      <w:tr>
        <w:tc>
          <w:tcPr>
            <w:tcW w:type="dxa" w:w="26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Dev &amp; Version Control</w:t>
            </w:r>
          </w:p>
        </w:tc>
        <w:tc>
          <w:tcPr>
            <w:tcW w:type="dxa" w:w="6353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VS Code, Jupyter, Git/GitHub</w:t>
            </w:r>
          </w:p>
        </w:tc>
      </w:tr>
    </w:tbl>
    <w:p>
      <w:pPr>
        <w:pStyle w:val="Heading1"/>
        <w:pBdr>
          <w:bottom w:val="single" w:color="1F5FA8" w:sz="8" w:space="6"/>
        </w:pBdr>
        <w:spacing w:after="180" w:before="400"/>
      </w:pPr>
      <w:r>
        <w:rPr>
          <w:b/>
          <w:bCs/>
          <w:color w:val="1F5FA8"/>
        </w:rPr>
        <w:t xml:space="preserve">17.  </w:t>
      </w:r>
      <w:r>
        <w:rPr>
          <w:b/>
          <w:bCs/>
          <w:color w:val="12233F"/>
        </w:rPr>
        <w:t xml:space="preserve">Evaluation Strategy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2"/>
        <w:gridCol w:w="6088"/>
      </w:tblGrid>
      <w:tr>
        <w:trPr>
          <w:tblHeader/>
        </w:trPr>
        <w:tc>
          <w:tcPr>
            <w:tcW w:type="dxa" w:w="2912"/>
            <w:shd w:fill="12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088"/>
            <w:shd w:fill="12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</w:tr>
      <w:tr>
        <w:tc>
          <w:tcPr>
            <w:tcW w:type="dxa" w:w="2912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88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Accuracy, Precision, Recall, F1, Confusion Matrix</w:t>
            </w:r>
          </w:p>
        </w:tc>
      </w:tr>
      <w:tr>
        <w:tc>
          <w:tcPr>
            <w:tcW w:type="dxa" w:w="2912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6088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IoU, precision/recall, mAP</w:t>
            </w:r>
          </w:p>
        </w:tc>
      </w:tr>
      <w:tr>
        <w:tc>
          <w:tcPr>
            <w:tcW w:type="dxa" w:w="2912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Robustness</w:t>
            </w:r>
          </w:p>
        </w:tc>
        <w:tc>
          <w:tcPr>
            <w:tcW w:type="dxa" w:w="6088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Lighting, quality variants, unseen patterns</w:t>
            </w:r>
          </w:p>
        </w:tc>
      </w:tr>
      <w:tr>
        <w:tc>
          <w:tcPr>
            <w:tcW w:type="dxa" w:w="2912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Errors</w:t>
            </w:r>
          </w:p>
        </w:tc>
        <w:tc>
          <w:tcPr>
            <w:tcW w:type="dxa" w:w="6088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False accept / false reject, both reported</w:t>
            </w:r>
          </w:p>
        </w:tc>
      </w:tr>
      <w:tr>
        <w:tc>
          <w:tcPr>
            <w:tcW w:type="dxa" w:w="2912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6088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Evidence, confidence, context, recommendation</w:t>
            </w:r>
          </w:p>
        </w:tc>
      </w:tr>
    </w:tbl>
    <w:p>
      <w:pPr>
        <w:pStyle w:val="Heading1"/>
        <w:pBdr>
          <w:bottom w:val="single" w:color="1F5FA8" w:sz="8" w:space="6"/>
        </w:pBdr>
        <w:spacing w:after="180" w:before="400"/>
      </w:pPr>
      <w:r>
        <w:rPr>
          <w:b/>
          <w:bCs/>
          <w:color w:val="1F5FA8"/>
        </w:rPr>
        <w:t xml:space="preserve">18.  </w:t>
      </w:r>
      <w:r>
        <w:rPr>
          <w:b/>
          <w:bCs/>
          <w:color w:val="12233F"/>
        </w:rPr>
        <w:t xml:space="preserve">Robustness to Unseen Conditions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Vision model is stress-tested against lighting, batch and material conditions that differ from the training data.</w:t>
      </w:r>
    </w:p>
    <w:p>
      <w:pPr>
        <w:pStyle w:val="Heading1"/>
        <w:pBdr>
          <w:bottom w:val="single" w:color="1F5FA8" w:sz="8" w:space="6"/>
        </w:pBdr>
        <w:spacing w:after="180" w:before="400"/>
      </w:pPr>
      <w:r>
        <w:rPr>
          <w:b/>
          <w:bCs/>
          <w:color w:val="1F5FA8"/>
        </w:rPr>
        <w:t xml:space="preserve">19.  </w:t>
      </w:r>
      <w:r>
        <w:rPr>
          <w:b/>
          <w:bCs/>
          <w:color w:val="12233F"/>
        </w:rPr>
        <w:t xml:space="preserve">Research Reference Dataset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Manufacturing Data Shared Facility — Discrete-Event Simulation dataset (Mendeley Data, v2, DOI 10.17632/3rw227zxt7.2), used as a conceptual reference for production-flow analysis only — not assumed to contain organizer inspection images or economic variables.</w:t>
      </w:r>
    </w:p>
    <w:p>
      <w:pPr>
        <w:pStyle w:val="Heading1"/>
        <w:pBdr>
          <w:bottom w:val="single" w:color="1F5FA8" w:sz="8" w:space="6"/>
        </w:pBdr>
        <w:spacing w:after="180" w:before="400"/>
      </w:pPr>
      <w:r>
        <w:rPr>
          <w:b/>
          <w:bCs/>
          <w:color w:val="1F5FA8"/>
        </w:rPr>
        <w:t xml:space="preserve">20.  </w:t>
      </w:r>
      <w:r>
        <w:rPr>
          <w:b/>
          <w:bCs/>
          <w:color w:val="12233F"/>
        </w:rPr>
        <w:t xml:space="preserve">Limitations and Assumptions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A1A1A"/>
          <w:sz w:val="22"/>
          <w:szCs w:val="22"/>
        </w:rPr>
        <w:t xml:space="preserve">Model performance depends on organizer-provided data quality and labeling.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A1A1A"/>
          <w:sz w:val="22"/>
          <w:szCs w:val="22"/>
        </w:rPr>
        <w:t xml:space="preserve">Correlation between process and defect does not establish causality.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A1A1A"/>
          <w:sz w:val="22"/>
          <w:szCs w:val="22"/>
        </w:rPr>
        <w:t xml:space="preserve">Economic figures depend on accurate cost/revenue data.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A1A1A"/>
          <w:sz w:val="22"/>
          <w:szCs w:val="22"/>
        </w:rPr>
        <w:t xml:space="preserve">What-if results are estimates, not guaranteed outcomes.</w:t>
      </w:r>
    </w:p>
    <w:p>
      <w:pPr>
        <w:pStyle w:val="Heading1"/>
        <w:pBdr>
          <w:bottom w:val="single" w:color="1F5FA8" w:sz="8" w:space="6"/>
        </w:pBdr>
        <w:spacing w:after="180" w:before="400"/>
      </w:pPr>
      <w:r>
        <w:rPr>
          <w:b/>
          <w:bCs/>
          <w:color w:val="1F5FA8"/>
        </w:rPr>
        <w:t xml:space="preserve">21.  </w:t>
      </w:r>
      <w:r>
        <w:rPr>
          <w:b/>
          <w:bCs/>
          <w:color w:val="12233F"/>
        </w:rPr>
        <w:t xml:space="preserve">Responsible AI and Industrial Safety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Decision-support only — displays confidence, flags uncertainty, shows evidence, distinguishes correlation from causation, and avoids direct machine control.</w:t>
      </w:r>
    </w:p>
    <w:p>
      <w:pPr>
        <w:pStyle w:val="Heading1"/>
        <w:pBdr>
          <w:bottom w:val="single" w:color="1F5FA8" w:sz="8" w:space="6"/>
        </w:pBdr>
        <w:spacing w:after="180" w:before="400"/>
      </w:pPr>
      <w:r>
        <w:rPr>
          <w:b/>
          <w:bCs/>
          <w:color w:val="1F5FA8"/>
        </w:rPr>
        <w:t xml:space="preserve">22.  </w:t>
      </w:r>
      <w:r>
        <w:rPr>
          <w:b/>
          <w:bCs/>
          <w:color w:val="12233F"/>
        </w:rPr>
        <w:t xml:space="preserve">Expected System Output</w:t>
      </w:r>
    </w:p>
    <w:tbl>
      <w:tblPr>
        <w:tblW w:type="pct" w:w="100%"/>
        <w:tblBorders>
          <w:top w:val="single" w:color="12233F" w:sz="4"/>
          <w:left w:val="single" w:color="12233F" w:sz="24"/>
          <w:bottom w:val="single" w:color="12233F" w:sz="4"/>
          <w:right w:val="single" w:color="12233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2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50"/>
            </w:pPr>
            <w:r>
              <w:rPr>
                <w:b/>
                <w:bCs/>
                <w:color w:val="12233F"/>
                <w:sz w:val="19"/>
                <w:szCs w:val="19"/>
              </w:rPr>
              <w:t xml:space="preserve">PRODUCT: P001</w:t>
            </w:r>
          </w:p>
          <w:p>
            <w:pPr>
              <w:spacing w:after="35"/>
            </w:pPr>
            <w:r>
              <w:rPr>
                <w:b/>
                <w:bCs/>
                <w:color w:val="1F5FA8"/>
                <w:sz w:val="18"/>
                <w:szCs w:val="18"/>
              </w:rPr>
              <w:t xml:space="preserve">QUALITY</w:t>
            </w:r>
            <w:r>
              <w:rPr>
                <w:color w:val="1A1A1A"/>
                <w:sz w:val="18"/>
                <w:szCs w:val="18"/>
              </w:rPr>
              <w:t xml:space="preserve">  Defective · Surface Scratch · 94% confidence · Region 1</w:t>
            </w:r>
          </w:p>
          <w:p>
            <w:pPr>
              <w:spacing w:after="35"/>
            </w:pPr>
            <w:r>
              <w:rPr>
                <w:b/>
                <w:bCs/>
                <w:color w:val="1F5FA8"/>
                <w:sz w:val="18"/>
                <w:szCs w:val="18"/>
              </w:rPr>
              <w:t xml:space="preserve">PROCESS</w:t>
            </w:r>
            <w:r>
              <w:rPr>
                <w:color w:val="1A1A1A"/>
                <w:sz w:val="18"/>
                <w:szCs w:val="18"/>
              </w:rPr>
              <w:t xml:space="preserve">  Station S3 · Machine M03 · Batch B17</w:t>
            </w:r>
          </w:p>
          <w:p>
            <w:pPr>
              <w:spacing w:after="35"/>
            </w:pPr>
            <w:r>
              <w:rPr>
                <w:b/>
                <w:bCs/>
                <w:color w:val="1F5FA8"/>
                <w:sz w:val="18"/>
                <w:szCs w:val="18"/>
              </w:rPr>
              <w:t xml:space="preserve">ROOT-CAUSE</w:t>
            </w:r>
            <w:r>
              <w:rPr>
                <w:color w:val="1A1A1A"/>
                <w:sz w:val="18"/>
                <w:szCs w:val="18"/>
              </w:rPr>
              <w:t xml:space="preserve">  Associated with Machine M03 / Station S3</w:t>
            </w:r>
          </w:p>
          <w:p>
            <w:pPr>
              <w:spacing w:after="35"/>
            </w:pPr>
            <w:r>
              <w:rPr>
                <w:b/>
                <w:bCs/>
                <w:color w:val="1F5FA8"/>
                <w:sz w:val="18"/>
                <w:szCs w:val="18"/>
              </w:rPr>
              <w:t xml:space="preserve">IMPACT</w:t>
            </w:r>
            <w:r>
              <w:rPr>
                <w:color w:val="1A1A1A"/>
                <w:sz w:val="18"/>
                <w:szCs w:val="18"/>
              </w:rPr>
              <w:t xml:space="preserve">  Bottleneck S3 · Est. loss ₹X · Throughput -X%</w:t>
            </w:r>
          </w:p>
          <w:p>
            <w:r>
              <w:rPr>
                <w:b/>
                <w:bCs/>
                <w:color w:val="C89B3C"/>
                <w:sz w:val="18"/>
                <w:szCs w:val="18"/>
              </w:rPr>
              <w:t xml:space="preserve">RECOMMENDATION</w:t>
            </w:r>
            <w:r>
              <w:rPr>
                <w:i/>
                <w:iCs/>
                <w:color w:val="1A1A1A"/>
                <w:sz w:val="18"/>
                <w:szCs w:val="18"/>
              </w:rPr>
              <w:t xml:space="preserve">  Evaluate simulated process adjustment (advisory only).</w:t>
            </w:r>
          </w:p>
        </w:tc>
      </w:tr>
    </w:tbl>
    <w:p>
      <w:pPr>
        <w:pStyle w:val="Heading1"/>
        <w:pBdr>
          <w:bottom w:val="single" w:color="1F5FA8" w:sz="8" w:space="6"/>
        </w:pBdr>
        <w:spacing w:after="180" w:before="400"/>
      </w:pPr>
      <w:r>
        <w:rPr>
          <w:b/>
          <w:bCs/>
          <w:color w:val="1F5FA8"/>
        </w:rPr>
        <w:t xml:space="preserve">23.  </w:t>
      </w:r>
      <w:r>
        <w:rPr>
          <w:b/>
          <w:bCs/>
          <w:color w:val="12233F"/>
        </w:rPr>
        <w:t xml:space="preserve">Key Innovation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Not just computer vision — the connective chain linking visual quality, process context, root-cause evidence, bottleneck analysis, economic impact and explainable decision support into one narrative.</w:t>
      </w:r>
    </w:p>
    <w:p>
      <w:pPr>
        <w:pStyle w:val="Heading1"/>
        <w:pBdr>
          <w:bottom w:val="single" w:color="1F5FA8" w:sz="8" w:space="6"/>
        </w:pBdr>
        <w:spacing w:after="180" w:before="400"/>
      </w:pPr>
      <w:r>
        <w:rPr>
          <w:b/>
          <w:bCs/>
          <w:color w:val="1F5FA8"/>
        </w:rPr>
        <w:t xml:space="preserve">24.  </w:t>
      </w:r>
      <w:r>
        <w:rPr>
          <w:b/>
          <w:bCs/>
          <w:color w:val="12233F"/>
        </w:rPr>
        <w:t xml:space="preserve">Proposed Team Implementation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9"/>
        <w:gridCol w:w="6081"/>
      </w:tblGrid>
      <w:tr>
        <w:trPr>
          <w:tblHeader/>
        </w:trPr>
        <w:tc>
          <w:tcPr>
            <w:tcW w:type="dxa" w:w="2919"/>
            <w:shd w:fill="12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6081"/>
            <w:shd w:fill="12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919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1 — Computer Vision</w:t>
            </w:r>
          </w:p>
        </w:tc>
        <w:tc>
          <w:tcPr>
            <w:tcW w:type="dxa" w:w="608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Preprocessing, classification, localization, confidence</w:t>
            </w:r>
          </w:p>
        </w:tc>
      </w:tr>
      <w:tr>
        <w:tc>
          <w:tcPr>
            <w:tcW w:type="dxa" w:w="2919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2 — Analytics</w:t>
            </w:r>
          </w:p>
        </w:tc>
        <w:tc>
          <w:tcPr>
            <w:tcW w:type="dxa" w:w="6081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Production flow, bottleneck, root-cause, economics</w:t>
            </w:r>
          </w:p>
        </w:tc>
      </w:tr>
      <w:tr>
        <w:tc>
          <w:tcPr>
            <w:tcW w:type="dxa" w:w="2919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3 — Integration &amp; Dashboard</w:t>
            </w:r>
          </w:p>
        </w:tc>
        <w:tc>
          <w:tcPr>
            <w:tcW w:type="dxa" w:w="608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Backend, decision engine, dashboard, what-if UI</w:t>
            </w:r>
          </w:p>
        </w:tc>
      </w:tr>
    </w:tbl>
    <w:p>
      <w:pPr>
        <w:pStyle w:val="Heading1"/>
        <w:pBdr>
          <w:bottom w:val="single" w:color="1F5FA8" w:sz="8" w:space="6"/>
        </w:pBdr>
        <w:spacing w:after="180" w:before="400"/>
      </w:pPr>
      <w:r>
        <w:rPr>
          <w:b/>
          <w:bCs/>
          <w:color w:val="1F5FA8"/>
        </w:rPr>
        <w:t xml:space="preserve">25.  </w:t>
      </w:r>
      <w:r>
        <w:rPr>
          <w:b/>
          <w:bCs/>
          <w:color w:val="12233F"/>
        </w:rPr>
        <w:t xml:space="preserve">Proposed Development Workflow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A6472"/>
          <w:sz w:val="18"/>
          <w:szCs w:val="18"/>
        </w:rPr>
        <w:t xml:space="preserve">Figure 5 — Development workflow.</w:t>
      </w:r>
    </w:p>
    <w:p>
      <w:pPr>
        <w:pStyle w:val="Heading1"/>
        <w:pBdr>
          <w:bottom w:val="single" w:color="1F5FA8" w:sz="8" w:space="6"/>
        </w:pBdr>
        <w:spacing w:after="180" w:before="400"/>
      </w:pPr>
      <w:r>
        <w:rPr>
          <w:b/>
          <w:bCs/>
          <w:color w:val="1F5FA8"/>
        </w:rPr>
        <w:t xml:space="preserve">26.  </w:t>
      </w:r>
      <w:r>
        <w:rPr>
          <w:b/>
          <w:bCs/>
          <w:color w:val="12233F"/>
        </w:rPr>
        <w:t xml:space="preserve">Conclusion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NEXORA connects visual inspection, process analytics and economic reasoning into a confidence-aware, explainable, advisory decision-support system — turning disconnected manufacturing data into one structured workflow.</w:t>
      </w:r>
    </w:p>
    <w:p>
      <w:pPr>
        <w:pStyle w:val="Heading1"/>
        <w:pBdr>
          <w:bottom w:val="single" w:color="1F5FA8" w:sz="8" w:space="6"/>
        </w:pBdr>
        <w:spacing w:after="180" w:before="400"/>
      </w:pPr>
      <w:r>
        <w:rPr>
          <w:b/>
          <w:bCs/>
          <w:color w:val="1F5FA8"/>
        </w:rPr>
        <w:t xml:space="preserve">27.  </w:t>
      </w:r>
      <w:r>
        <w:rPr>
          <w:b/>
          <w:bCs/>
          <w:color w:val="12233F"/>
        </w:rPr>
        <w:t xml:space="preserve">References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A1A1A"/>
          <w:sz w:val="22"/>
          <w:szCs w:val="22"/>
        </w:rPr>
        <w:t xml:space="preserve">NeuraX Hackathon 3.0 — Domain 2: AI in Industry and Automation, Problem Statement.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A1A1A"/>
          <w:sz w:val="22"/>
          <w:szCs w:val="22"/>
        </w:rPr>
        <w:t xml:space="preserve">Manufacturing Data Shared Facility — Discrete-Event Simulation, Mendeley Data, DOI: 10.17632/3rw227zxt7.2.</w:t>
      </w:r>
    </w:p>
    <w:sectPr>
      <w:headerReference w:type="default" r:id="rId7"/>
      <w:footerReference w:type="default" r:id="rId8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5"/>
        <w:szCs w:val="15"/>
      </w:rPr>
      <w:t xml:space="preserve">NeuraX Hackathon 3.0 — Research Brief — Page </w:t>
    </w:r>
    <w:r>
      <w:rPr>
        <w:color w:val="5A647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A6472"/>
        <w:sz w:val="15"/>
        <w:szCs w:val="15"/>
      </w:rPr>
      <w:t xml:space="preserve"> of </w:t>
    </w:r>
    <w:r>
      <w:rPr>
        <w:color w:val="5A647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E" w:sz="4" w:space="4"/>
      </w:pBdr>
    </w:pPr>
    <w:r>
      <w:rPr>
        <w:color w:val="5A6472"/>
        <w:sz w:val="15"/>
        <w:szCs w:val="15"/>
      </w:rPr>
      <w:t xml:space="preserve">NEXORA  ·  Visual Inspection &amp; Defect Root-Cause Assistant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60"/>
      </w:pPr>
      <w:rPr>
        <w:color w:val="1F5FA8"/>
      </w:rPr>
    </w:lvl>
    <w:lvl w:ilvl="1" w15:tentative="1">
      <w:start w:val="1"/>
      <w:numFmt w:val="bullet"/>
      <w:lvlText w:val="○"/>
      <w:lvlJc w:val="left"/>
      <w:pPr>
        <w:ind w:left="860" w:hanging="260"/>
      </w:pPr>
      <w:rPr>
        <w:color w:val="0E8C8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2233F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color w:val="1F5F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2234c50585aedc8754973fe33169f5483ac29d2.png"/><Relationship Id="rId10" Type="http://schemas.openxmlformats.org/officeDocument/2006/relationships/image" Target="media/40002d2c9ff35e3bb0cccf1e4973a9b7bdf001df.png"/><Relationship Id="rId11" Type="http://schemas.openxmlformats.org/officeDocument/2006/relationships/image" Target="media/f6ecd36537a351f97c825c5cc6987905fd60361a.png"/><Relationship Id="rId12" Type="http://schemas.openxmlformats.org/officeDocument/2006/relationships/image" Target="media/ca3cfa4c921612ccf57b7044850132d896981afa.png"/><Relationship Id="rId13" Type="http://schemas.openxmlformats.org/officeDocument/2006/relationships/image" Target="media/ecb8b2018adaac32bd5a9061b6f1a8d0e3408dc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NEXORA — Visual Inspection &amp; Defect Root-Cause Assistant (Condensed)</dc:title>
  <dc:creator>Team NEXORA</dc:creator>
  <cp:lastModifiedBy>Un-named</cp:lastModifiedBy>
  <cp:revision>1</cp:revision>
  <dcterms:created xsi:type="dcterms:W3CDTF">2026-09-19T07:17:08.233Z</dcterms:created>
  <dcterms:modified xsi:type="dcterms:W3CDTF">2026-09-19T07:17:08.241Z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