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80" w:before="52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14646"/>
          <w:sz w:val="19"/>
          <w:szCs w:val="19"/>
        </w:rPr>
        <w:t xml:space="preserve">CUSTOMER VALUE &amp; POSITIONING BRIEF</w:t>
      </w:r>
    </w:p>
    <w:p>
      <w:pPr>
        <w:keepNext/>
        <w:spacing w:after="80" w:before="0" w:line="65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62"/>
          <w:szCs w:val="62"/>
        </w:rPr>
        <w:t xml:space="preserve">ScoutGrid</w:t>
      </w:r>
    </w:p>
    <w:p>
      <w:pPr>
        <w:keepNext w:val="false"/>
        <w:spacing w:after="280" w:before="0" w:line="4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6FA3"/>
          <w:sz w:val="33"/>
          <w:szCs w:val="33"/>
        </w:rPr>
        <w:t xml:space="preserve">From vulnerability awareness to confident, coordinated action.</w:t>
      </w:r>
    </w:p>
    <w:p>
      <w:pPr>
        <w:keepNext w:val="false"/>
        <w:spacing w:after="300" w:before="0" w:line="35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5"/>
          <w:szCs w:val="25"/>
        </w:rPr>
        <w:t xml:space="preserve">ScoutGrid gives organizations a decision-ready view of exposure and the intelligence to reduce it. Security leaders gain clarity, teams receive practical guidance, low-value work falls away, and major remediation efforts stay visible and accountable.</w:t>
      </w:r>
    </w:p>
    <w:p>
      <w:pPr>
        <w:pBdr>
          <w:top w:val="none" w:color="FFFFFF" w:sz="0"/>
          <w:bottom w:val="none" w:color="FFFFFF" w:sz="0"/>
          <w:left w:val="single" w:color="18A6C3" w:sz="18"/>
          <w:right w:val="none" w:color="FFFFFF" w:sz="0"/>
        </w:pBdr>
        <w:shd w:fill="E7F7F9" w:color="auto" w:val="clear"/>
        <w:spacing w:after="200" w:before="80" w:line="320" w:lineRule="auto"/>
        <w:ind w:left="22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The customer promise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Know what matters. Understand the right fix. Keep teams focused. Accelerate action. Prove progress.</w:t>
      </w:r>
    </w:p>
    <w:p>
      <w:pPr>
        <w:pStyle w:val="Heading2"/>
        <w:keepNext/>
      </w:pPr>
      <w:r>
        <w:t xml:space="preserve">What customers gain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Timely vulnerability intelligence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A current view of emerging issues and changing urgency across the organization.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Actionable fix intelligence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Clear remediation options that help teams move from finding to resolution.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Focused remediation queues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Automatic suppression keeps known-safe and non-actionable work out of the active queue.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Coordinated execution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Agentic remediation and campaigns help teams move priority work forward with oversight.</w:t>
      </w:r>
    </w:p>
    <w:p>
      <w:pPr>
        <w:keepNext w:val="false"/>
        <w:spacing w:after="0" w:before="240" w:line="24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78"/>
          <w:sz w:val="18"/>
          <w:szCs w:val="18"/>
        </w:rPr>
        <w:t xml:space="preserve">Prepared for prospective customers  |  July 2026  |  scoutgrid.io</w:t>
      </w:r>
    </w:p>
    <w:p>
      <w:r>
        <w:br w:type="page"/>
      </w:r>
    </w:p>
    <w:p>
      <w:pPr>
        <w:keepNext/>
        <w:spacing w:after="8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14646"/>
          <w:sz w:val="19"/>
          <w:szCs w:val="19"/>
        </w:rPr>
        <w:t xml:space="preserve">FIVE VALUE CAPABILITIES</w:t>
      </w:r>
    </w:p>
    <w:p>
      <w:pPr>
        <w:pStyle w:val="Heading1"/>
        <w:keepNext/>
      </w:pPr>
      <w:r>
        <w:t xml:space="preserve">Intelligence and action that strengthen the entire security program</w:t>
      </w:r>
    </w:p>
    <w:p>
      <w:pPr>
        <w:keepNext w:val="false"/>
        <w:spacing w:after="1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ScoutGrid turns exposure management into a more focused and accountable organizational discipline. Each capability delivers a distinct customer outcome.</w:t>
      </w:r>
    </w:p>
    <w:tbl>
      <w:tblPr>
        <w:tblW w:type="dxa" w:w="9360"/>
        <w:tblInd w:type="dxa" w:w="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single" w:color="FFFFFF" w:sz="12"/>
        </w:tblBorders>
        <w:tblLayout w:type="fixed"/>
      </w:tblPr>
      <w:tblGrid>
        <w:gridCol w:w="4560"/>
        <w:gridCol w:w="4560"/>
      </w:tblGrid>
      <w:tr>
        <w:tc>
          <w:tcPr>
            <w:tcW w:type="dxa" w:w="4560"/>
            <w:shd w:fill="EA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Vulnerability intelligence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Keep leaders and practitioners current on newly disclosed issues, active exploitation, changing urgency, software lifecycle risk, and the exposure that deserves attention.</w:t>
            </w:r>
          </w:p>
        </w:tc>
        <w:tc>
          <w:tcPr>
            <w:tcW w:type="dxa" w:w="4560"/>
            <w:shd w:fill="E7F7F9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Fix intelligence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Give teams practical remediation guidance, including target versions, available mitigations, workarounds, and the evidence needed to choose the right response.</w:t>
            </w:r>
          </w:p>
        </w:tc>
      </w:tr>
      <w:tr>
        <w:tc>
          <w:tcPr>
            <w:tcW w:type="dxa" w:w="4560"/>
            <w:shd w:fill="E7F7F9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Automatic suppression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Remove known-safe, duplicate, resolved, and non-actionable work from active queues while retaining the decision record needed for governance.</w:t>
            </w:r>
          </w:p>
        </w:tc>
        <w:tc>
          <w:tcPr>
            <w:tcW w:type="dxa" w:w="4560"/>
            <w:shd w:fill="FCEEEE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Agentic remediation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Use AI-assisted agents to prepare remediation plans, draft actions, identify validation steps, and accelerate human-approved execution.</w:t>
            </w:r>
          </w:p>
        </w:tc>
      </w:tr>
      <w:tr>
        <w:tc>
          <w:tcPr>
            <w:tcW w:type="dxa" w:w="4560"/>
            <w:shd w:fill="EA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Remediation campaigns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Turn major risk themes into coordinated efforts with accountable owners, milestones, exceptions, watchlists, and visible progress.</w:t>
            </w:r>
          </w:p>
        </w:tc>
        <w:tc>
          <w:tcPr>
            <w:tcW w:type="dxa" w:w="4560"/>
            <w:shd w:fill="E7F7F9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Executive visibility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Show exposure, overdue action, campaign health, ownership gaps, and improvement in a form leaders can use.</w:t>
            </w:r>
          </w:p>
        </w:tc>
      </w:tr>
    </w:tbl>
    <w:p>
      <w:pPr>
        <w:pStyle w:val="Heading1"/>
        <w:keepNext/>
      </w:pPr>
      <w:r>
        <w:t xml:space="preserve">The value of the combined experience</w:t>
      </w:r>
    </w:p>
    <w:tbl>
      <w:tblPr>
        <w:tblW w:type="dxa" w:w="9360"/>
        <w:tblInd w:type="dxa" w:w="120"/>
        <w:tblBorders>
          <w:top w:val="single" w:color="D8E1E7" w:sz="4"/>
          <w:left w:val="single" w:color="D8E1E7" w:sz="4"/>
          <w:bottom w:val="single" w:color="D8E1E7" w:sz="4"/>
          <w:right w:val="single" w:color="D8E1E7" w:sz="4"/>
          <w:insideH w:val="single" w:color="D8E1E7" w:sz="3"/>
          <w:insideV w:val="single" w:color="D8E1E7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outcome</w:t>
            </w:r>
          </w:p>
        </w:tc>
        <w:tc>
          <w:tcPr>
            <w:tcW w:type="dxa" w:w="676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Organizational benefit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Better awareness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The organization stays current on the vulnerabilities that can change its risk posture</w:t>
            </w:r>
          </w:p>
        </w:tc>
      </w:tr>
      <w:tr>
        <w:trPr>
          <w:tblHeader w:val="false"/>
        </w:trPr>
        <w:tc>
          <w:tcPr>
            <w:tcW w:type="dxa" w:w="26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Faster resolution</w:t>
            </w:r>
          </w:p>
        </w:tc>
        <w:tc>
          <w:tcPr>
            <w:tcW w:type="dxa" w:w="67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Teams receive clearer fix options and spend less time researching the next step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Less noise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Automatic suppression protects scarce attention and keeps active queues credible</w:t>
            </w:r>
          </w:p>
        </w:tc>
      </w:tr>
      <w:tr>
        <w:trPr>
          <w:tblHeader w:val="false"/>
        </w:trPr>
        <w:tc>
          <w:tcPr>
            <w:tcW w:type="dxa" w:w="26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More execution capacity</w:t>
            </w:r>
          </w:p>
        </w:tc>
        <w:tc>
          <w:tcPr>
            <w:tcW w:type="dxa" w:w="67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Agentic assistance reduces preparation work while people retain control of decisions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Stronger coordination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Campaigns align teams around material risks and make progress visible</w:t>
            </w:r>
          </w:p>
        </w:tc>
      </w:tr>
    </w:tbl>
    <w:p>
      <w:r>
        <w:br w:type="page"/>
      </w:r>
    </w:p>
    <w:p>
      <w:pPr>
        <w:keepNext/>
        <w:spacing w:after="8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14646"/>
          <w:sz w:val="19"/>
          <w:szCs w:val="19"/>
        </w:rPr>
        <w:t xml:space="preserve">VALUE ACROSS THE ORGANIZATION</w:t>
      </w:r>
    </w:p>
    <w:p>
      <w:pPr>
        <w:pStyle w:val="Heading1"/>
        <w:keepNext/>
      </w:pPr>
      <w:r>
        <w:t xml:space="preserve">Every stakeholder receives a clearer answer and a stronger next move</w:t>
      </w:r>
    </w:p>
    <w:p>
      <w:pPr>
        <w:keepNext w:val="false"/>
        <w:spacing w:after="1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ScoutGrid gives each stakeholder the value they need while keeping the organization aligned around shared priorities, accountable action, and measurable progress.</w:t>
      </w:r>
    </w:p>
    <w:tbl>
      <w:tblPr>
        <w:tblW w:type="dxa" w:w="9360"/>
        <w:tblInd w:type="dxa" w:w="120"/>
        <w:tblBorders>
          <w:top w:val="single" w:color="D8E1E7" w:sz="4"/>
          <w:left w:val="single" w:color="D8E1E7" w:sz="4"/>
          <w:bottom w:val="single" w:color="D8E1E7" w:sz="4"/>
          <w:right w:val="single" w:color="D8E1E7" w:sz="4"/>
          <w:insideH w:val="single" w:color="D8E1E7" w:sz="3"/>
          <w:insideV w:val="single" w:color="D8E1E7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60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received</w:t>
            </w:r>
          </w:p>
        </w:tc>
        <w:tc>
          <w:tcPr>
            <w:tcW w:type="dxa" w:w="366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Organizational effect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CISO and security leadership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Vulnerability awareness, campaign visibility, and a defensible view of material exposure</w:t>
            </w:r>
          </w:p>
        </w:tc>
        <w:tc>
          <w:tcPr>
            <w:tcW w:type="dxa" w:w="36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Clearer investment, escalation, and risk-acceptance decisions</w:t>
            </w:r>
          </w:p>
        </w:tc>
      </w:tr>
      <w:tr>
        <w:trPr>
          <w:tblHeader w:val="false"/>
        </w:trPr>
        <w:tc>
          <w:tcPr>
            <w:tcW w:type="dxa" w:w="21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Vulnerability management</w:t>
            </w:r>
          </w:p>
        </w:tc>
        <w:tc>
          <w:tcPr>
            <w:tcW w:type="dxa" w:w="36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Focused queues, automatic suppression, fix guidance, and coordinated campaigns</w:t>
            </w:r>
          </w:p>
        </w:tc>
        <w:tc>
          <w:tcPr>
            <w:tcW w:type="dxa" w:w="36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Less triage friction and faster progress on critical work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Application security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Application-level risk with practical fix intelligence</w:t>
            </w:r>
          </w:p>
        </w:tc>
        <w:tc>
          <w:tcPr>
            <w:tcW w:type="dxa" w:w="36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Better decisions with development and product owners</w:t>
            </w:r>
          </w:p>
        </w:tc>
      </w:tr>
      <w:tr>
        <w:trPr>
          <w:tblHeader w:val="false"/>
        </w:trPr>
        <w:tc>
          <w:tcPr>
            <w:tcW w:type="dxa" w:w="21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Infrastructure and cloud teams</w:t>
            </w:r>
          </w:p>
        </w:tc>
        <w:tc>
          <w:tcPr>
            <w:tcW w:type="dxa" w:w="36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Priorities, recommended actions, and validation guidance for the systems they operate</w:t>
            </w:r>
          </w:p>
        </w:tc>
        <w:tc>
          <w:tcPr>
            <w:tcW w:type="dxa" w:w="36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Less ambiguity and faster remediation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Application and service owners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 business-relevant explanation of risk, expected action, and campaign status</w:t>
            </w:r>
          </w:p>
        </w:tc>
        <w:tc>
          <w:tcPr>
            <w:tcW w:type="dxa" w:w="36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Faster acceptance and fewer stalled handoffs</w:t>
            </w:r>
          </w:p>
        </w:tc>
      </w:tr>
      <w:tr>
        <w:trPr>
          <w:tblHeader w:val="false"/>
        </w:trPr>
        <w:tc>
          <w:tcPr>
            <w:tcW w:type="dxa" w:w="21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Risk and compliance</w:t>
            </w:r>
          </w:p>
        </w:tc>
        <w:tc>
          <w:tcPr>
            <w:tcW w:type="dxa" w:w="36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Visible suppressions, exceptions, deadlines, campaign milestones, and evidence of progress</w:t>
            </w:r>
          </w:p>
        </w:tc>
        <w:tc>
          <w:tcPr>
            <w:tcW w:type="dxa" w:w="36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Stronger governance and more efficient reviews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Executive stakeholders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Concise reporting on exposure, accountability, campaigns, and improvement</w:t>
            </w:r>
          </w:p>
        </w:tc>
        <w:tc>
          <w:tcPr>
            <w:tcW w:type="dxa" w:w="36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Greater confidence that risk is understood and managed</w:t>
            </w:r>
          </w:p>
        </w:tc>
      </w:tr>
    </w:tbl>
    <w:p>
      <w:pPr>
        <w:pBdr>
          <w:top w:val="none" w:color="FFFFFF" w:sz="0"/>
          <w:bottom w:val="none" w:color="FFFFFF" w:sz="0"/>
          <w:left w:val="single" w:color="18A6C3" w:sz="18"/>
          <w:right w:val="none" w:color="FFFFFF" w:sz="0"/>
        </w:pBdr>
        <w:shd w:fill="EAF4F8" w:color="auto" w:val="clear"/>
        <w:spacing w:after="200" w:before="80" w:line="320" w:lineRule="auto"/>
        <w:ind w:left="22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Shared value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Vulnerability intelligence informs the decision; fix intelligence improves the response; suppression protects focus; agentic remediation increases capacity; campaigns sustain accountability.</w:t>
      </w:r>
    </w:p>
    <w:p>
      <w:r>
        <w:br w:type="page"/>
      </w:r>
    </w:p>
    <w:p>
      <w:pPr>
        <w:keepNext/>
        <w:spacing w:after="8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14646"/>
          <w:sz w:val="19"/>
          <w:szCs w:val="19"/>
        </w:rPr>
        <w:t xml:space="preserve">WHERE CUSTOMERS SEE VALUE FASTEST</w:t>
      </w:r>
    </w:p>
    <w:p>
      <w:pPr>
        <w:pStyle w:val="Heading1"/>
        <w:keepNext/>
      </w:pPr>
      <w:r>
        <w:t xml:space="preserve">High-impact outcomes for common security challenges</w:t>
      </w:r>
    </w:p>
    <w:tbl>
      <w:tblPr>
        <w:tblW w:type="dxa" w:w="9360"/>
        <w:tblInd w:type="dxa" w:w="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single" w:color="FFFFFF" w:sz="12"/>
        </w:tblBorders>
        <w:tblLayout w:type="fixed"/>
      </w:tblPr>
      <w:tblGrid>
        <w:gridCol w:w="4560"/>
        <w:gridCol w:w="4560"/>
      </w:tblGrid>
      <w:tr>
        <w:tc>
          <w:tcPr>
            <w:tcW w:type="dxa" w:w="4560"/>
            <w:shd w:fill="FCEEEE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Zero-day readiness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Use current vulnerability intelligence to understand urgency, focus the organization, and give leaders a clear response posture.</w:t>
            </w:r>
          </w:p>
        </w:tc>
        <w:tc>
          <w:tcPr>
            <w:tcW w:type="dxa" w:w="4560"/>
            <w:shd w:fill="EA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Faster fixes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Reduce research time with fix intelligence that gives teams practical resolution choices and validation guidance.</w:t>
            </w:r>
          </w:p>
        </w:tc>
      </w:tr>
      <w:tr>
        <w:tc>
          <w:tcPr>
            <w:tcW w:type="dxa" w:w="4560"/>
            <w:shd w:fill="E7F7F9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Noise reduction at scale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Keep queues relevant through automatic suppression of work that no longer deserves active attention.</w:t>
            </w:r>
          </w:p>
        </w:tc>
        <w:tc>
          <w:tcPr>
            <w:tcW w:type="dxa" w:w="4560"/>
            <w:shd w:fill="EA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Agentic remediation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Increase team capacity with AI-assisted preparation and execution support under human oversight.</w:t>
            </w:r>
          </w:p>
        </w:tc>
      </w:tr>
      <w:tr>
        <w:tc>
          <w:tcPr>
            <w:tcW w:type="dxa" w:w="4560"/>
            <w:shd w:fill="E7F7F9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Campaign-based action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Coordinate cross-team remediation around a major vulnerability, risky technology, overdue portfolio, or executive priority.</w:t>
            </w:r>
          </w:p>
        </w:tc>
        <w:tc>
          <w:tcPr>
            <w:tcW w:type="dxa" w:w="4560"/>
            <w:shd w:fill="FCEEEE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spacing w:after="8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71B2D"/>
                <w:sz w:val="22"/>
                <w:szCs w:val="22"/>
              </w:rPr>
              <w:t xml:space="preserve">Executive risk reporting</w:t>
            </w:r>
          </w:p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20"/>
                <w:szCs w:val="20"/>
              </w:rPr>
              <w:t xml:space="preserve">Show concentration of risk, campaign progress, overdue action, and improvement without rebuilding the story for every review.</w:t>
            </w:r>
          </w:p>
        </w:tc>
      </w:tr>
    </w:tbl>
    <w:p>
      <w:pPr>
        <w:pStyle w:val="Heading1"/>
        <w:keepNext/>
      </w:pPr>
      <w:r>
        <w:t xml:space="preserve">Coverage customers can use across the modern environment</w:t>
      </w:r>
    </w:p>
    <w:tbl>
      <w:tblPr>
        <w:tblW w:type="dxa" w:w="9360"/>
        <w:tblInd w:type="dxa" w:w="120"/>
        <w:tblBorders>
          <w:top w:val="single" w:color="D8E1E7" w:sz="4"/>
          <w:left w:val="single" w:color="D8E1E7" w:sz="4"/>
          <w:bottom w:val="single" w:color="D8E1E7" w:sz="4"/>
          <w:right w:val="single" w:color="D8E1E7" w:sz="4"/>
          <w:insideH w:val="single" w:color="D8E1E7" w:sz="3"/>
          <w:insideV w:val="single" w:color="D8E1E7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 value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7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 consistent view of priority risk, fix options, and accountable action across technology estates</w:t>
            </w:r>
          </w:p>
        </w:tc>
      </w:tr>
      <w:tr>
        <w:trPr>
          <w:tblHeader w:val="false"/>
        </w:trPr>
        <w:tc>
          <w:tcPr>
            <w:tcW w:type="dxa" w:w="22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Cloud</w:t>
            </w:r>
          </w:p>
        </w:tc>
        <w:tc>
          <w:tcPr>
            <w:tcW w:type="dxa" w:w="71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Clear visibility into the workloads and services that require the most attention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BOM</w:t>
            </w:r>
          </w:p>
        </w:tc>
        <w:tc>
          <w:tcPr>
            <w:tcW w:type="dxa" w:w="7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Ongoing vulnerability and remediation value from software, cloud, AI, cryptography, and vendor BOM records</w:t>
            </w:r>
          </w:p>
        </w:tc>
      </w:tr>
      <w:tr>
        <w:trPr>
          <w:tblHeader w:val="false"/>
        </w:trPr>
        <w:tc>
          <w:tcPr>
            <w:tcW w:type="dxa" w:w="220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AI</w:t>
            </w:r>
          </w:p>
        </w:tc>
        <w:tc>
          <w:tcPr>
            <w:tcW w:type="dxa" w:w="716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 path to visibility and risk oversight for models, agents, MCP servers, and related AI assets</w:t>
            </w:r>
          </w:p>
        </w:tc>
      </w:tr>
    </w:tbl>
    <w:p>
      <w:pPr>
        <w:keepNext w:val="false"/>
        <w:spacing w:after="0" w:before="100" w:line="25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B6B78"/>
          <w:sz w:val="18"/>
          <w:szCs w:val="18"/>
        </w:rPr>
        <w:t xml:space="preserve">Availability 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78"/>
          <w:sz w:val="18"/>
          <w:szCs w:val="18"/>
        </w:rPr>
        <w:t xml:space="preserve">AI Grid is in active development. Confirm early-access availability and scope during evaluation.</w:t>
      </w:r>
    </w:p>
    <w:p>
      <w:r>
        <w:br w:type="page"/>
      </w:r>
    </w:p>
    <w:p>
      <w:pPr>
        <w:keepNext/>
        <w:spacing w:after="8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14646"/>
          <w:sz w:val="19"/>
          <w:szCs w:val="19"/>
        </w:rPr>
        <w:t xml:space="preserve">WHY SCOUTGRID</w:t>
      </w:r>
    </w:p>
    <w:p>
      <w:pPr>
        <w:pStyle w:val="Heading1"/>
        <w:keepNext/>
      </w:pPr>
      <w:r>
        <w:t xml:space="preserve">The outcome is a more intelligent, focused, and accountable security program</w:t>
      </w:r>
    </w:p>
    <w:p>
      <w:pPr>
        <w:keepNext w:val="false"/>
        <w:spacing w:after="1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ScoutGrid complements the tools already in place by improving the quality of awareness, decisions, remediation, and cross-team execution. The shift is visible in everyday work and executive reporting.</w:t>
      </w:r>
    </w:p>
    <w:tbl>
      <w:tblPr>
        <w:tblW w:type="dxa" w:w="9360"/>
        <w:tblInd w:type="dxa" w:w="120"/>
        <w:tblBorders>
          <w:top w:val="single" w:color="D8E1E7" w:sz="4"/>
          <w:left w:val="single" w:color="D8E1E7" w:sz="4"/>
          <w:bottom w:val="single" w:color="D8E1E7" w:sz="4"/>
          <w:right w:val="single" w:color="D8E1E7" w:sz="4"/>
          <w:insideH w:val="single" w:color="D8E1E7" w:sz="3"/>
          <w:insideV w:val="single" w:color="D8E1E7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Before ScoutGrid</w:t>
            </w:r>
          </w:p>
        </w:tc>
        <w:tc>
          <w:tcPr>
            <w:tcW w:type="dxa" w:w="4680"/>
            <w:shd w:fill="071B2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With ScoutGrid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Teams chase broad vulnerability volume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Vulnerability intelligence keeps attention on material and changing risk</w:t>
            </w:r>
          </w:p>
        </w:tc>
      </w:tr>
      <w:tr>
        <w:trPr>
          <w:tblHeader w:val="false"/>
        </w:trPr>
        <w:tc>
          <w:tcPr>
            <w:tcW w:type="dxa" w:w="468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Practitioners research fixes from scratch</w:t>
            </w:r>
          </w:p>
        </w:tc>
        <w:tc>
          <w:tcPr>
            <w:tcW w:type="dxa" w:w="468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Fix intelligence gives teams practical response options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Known-safe work remains in active queues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Automatic suppression protects focus and preserves governance</w:t>
            </w:r>
          </w:p>
        </w:tc>
      </w:tr>
      <w:tr>
        <w:trPr>
          <w:tblHeader w:val="false"/>
        </w:trPr>
        <w:tc>
          <w:tcPr>
            <w:tcW w:type="dxa" w:w="468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Experts spend time preparing routine actions</w:t>
            </w:r>
          </w:p>
        </w:tc>
        <w:tc>
          <w:tcPr>
            <w:tcW w:type="dxa" w:w="468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Agentic remediation expands capacity with human oversight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Major risks are managed through scattered tickets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Campaigns create coordinated ownership, milestones, and progress</w:t>
            </w:r>
          </w:p>
        </w:tc>
      </w:tr>
      <w:tr>
        <w:trPr>
          <w:tblHeader w:val="false"/>
        </w:trPr>
        <w:tc>
          <w:tcPr>
            <w:tcW w:type="dxa" w:w="468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Executives receive manually assembled reports</w:t>
            </w:r>
          </w:p>
        </w:tc>
        <w:tc>
          <w:tcPr>
            <w:tcW w:type="dxa" w:w="4680"/>
            <w:shd w:fill="F3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before="0" w:line="27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244"/>
                <w:sz w:val="18"/>
                <w:szCs w:val="18"/>
              </w:rPr>
              <w:t xml:space="preserve">Leadership sees a concise, current view of exposure and action</w:t>
            </w:r>
          </w:p>
        </w:tc>
      </w:tr>
    </w:tbl>
    <w:p>
      <w:pPr>
        <w:pStyle w:val="Heading1"/>
        <w:keepNext/>
      </w:pPr>
      <w:r>
        <w:t xml:space="preserve">What a successful evaluation should prove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Better awareness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The team can explain which vulnerabilities deserve attention and why.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Faster fixes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Practitioners receive useful remediation options without repeating the same research.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Less noise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Automatic suppression produces a smaller, more credible active queue.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More capacity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Agentic remediation accelerates preparation and execution while retaining human control.</w:t>
      </w:r>
    </w:p>
    <w:p>
      <w:pPr>
        <w:pStyle w:val="ListParagraph"/>
        <w:numPr>
          <w:ilvl w:val="0"/>
          <w:numId w:val="2"/>
        </w:numPr>
        <w:spacing w:after="120" w:before="0" w:line="29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Visible progress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 - Campaigns make ownership, milestones, exceptions, and outcomes clear.</w:t>
      </w:r>
    </w:p>
    <w:p>
      <w:pPr>
        <w:pBdr>
          <w:top w:val="none" w:color="FFFFFF" w:sz="0"/>
          <w:bottom w:val="none" w:color="FFFFFF" w:sz="0"/>
          <w:left w:val="single" w:color="18A6C3" w:sz="18"/>
          <w:right w:val="none" w:color="FFFFFF" w:sz="0"/>
        </w:pBdr>
        <w:shd w:fill="E7F7F9" w:color="auto" w:val="clear"/>
        <w:spacing w:after="200" w:before="80" w:line="320" w:lineRule="auto"/>
        <w:ind w:left="22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2"/>
          <w:szCs w:val="22"/>
        </w:rPr>
        <w:t xml:space="preserve">Next conversation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3244"/>
          <w:sz w:val="22"/>
          <w:szCs w:val="22"/>
        </w:rPr>
        <w:t xml:space="preserve">Choose one recent critical vulnerability, one difficult remediation, or one cross-team campaign. ScoutGrid can demonstrate the customer value around a scenario your organization already understands.</w:t>
      </w:r>
    </w:p>
    <w:p>
      <w:pPr>
        <w:keepNext w:val="false"/>
        <w:spacing w:after="30" w:before="160" w:line="3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71B2D"/>
          <w:sz w:val="28"/>
          <w:szCs w:val="28"/>
        </w:rPr>
        <w:t xml:space="preserve">Request a product demo</w:t>
      </w:r>
    </w:p>
    <w:p>
      <w:pPr>
        <w:keepNext w:val="false"/>
        <w:spacing w:after="130" w:before="0" w:line="30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46FA3"/>
          <w:sz w:val="24"/>
          <w:szCs w:val="24"/>
        </w:rPr>
        <w:t xml:space="preserve">scoutgrid.io</w:t>
      </w:r>
    </w:p>
    <w:p>
      <w:pPr>
        <w:keepNext w:val="false"/>
        <w:spacing w:after="0" w:before="120" w:line="23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B78"/>
          <w:sz w:val="17"/>
          <w:szCs w:val="17"/>
        </w:rPr>
        <w:t xml:space="preserve">Product capabilities and deployment scope may vary by configuration. Confirm availability and fit during evaluation.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1E7" w:sz="4"/>
      </w:pBdr>
      <w:spacing w:after="0" w:before="80"/>
    </w:pPr>
    <w:r>
      <w:rPr>
        <w:rFonts w:ascii="Calibri" w:cs="Calibri" w:eastAsia="Calibri" w:hAnsi="Calibri"/>
        <w:b/>
        <w:bCs/>
        <w:i w:val="false"/>
        <w:iCs w:val="false"/>
        <w:color w:val="071B2D"/>
        <w:sz w:val="17"/>
        <w:szCs w:val="17"/>
      </w:rPr>
      <w:t xml:space="preserve">scoutgrid.io</w:t>
    </w:r>
    <w:r>
      <w:rPr>
        <w:rFonts w:ascii="Calibri" w:cs="Calibri" w:eastAsia="Calibri" w:hAnsi="Calibri"/>
        <w:b w:val="false"/>
        <w:bCs w:val="false"/>
        <w:i w:val="false"/>
        <w:iCs w:val="false"/>
        <w:color w:val="5B6B78"/>
        <w:sz w:val="17"/>
        <w:szCs w:val="17"/>
      </w:rPr>
      <w:t xml:space="preserve">   |   Prospect edition</w:t>
    </w:r>
    <w:r>
      <w:rPr>
        <w:rFonts w:ascii="Calibri" w:cs="Calibri" w:eastAsia="Calibri" w:hAnsi="Calibri"/>
        <w:b w:val="false"/>
        <w:bCs w:val="false"/>
        <w:i w:val="false"/>
        <w:iCs w:val="false"/>
        <w:color w:val="203244"/>
        <w:sz w:val="17"/>
        <w:szCs w:val="17"/>
      </w:rPr>
      <w:t xml:space="preserve">                                    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5B6B78"/>
        <w:sz w:val="17"/>
        <w:szCs w:val="17"/>
      </w:rPr>
      <w:t xml:space="preserve">Page </w:t>
    </w:r>
    <w:r>
      <w:rPr>
        <w:rFonts w:ascii="Calibri" w:cs="Calibri" w:eastAsia="Calibri" w:hAnsi="Calibri"/>
        <w:color w:val="5B6B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1E7" w:sz="5"/>
      </w:pBdr>
      <w:spacing w:after="70"/>
    </w:pPr>
    <w:r>
      <w:rPr>
        <w:rFonts w:ascii="Calibri" w:cs="Calibri" w:eastAsia="Calibri" w:hAnsi="Calibri"/>
        <w:b/>
        <w:bCs/>
        <w:i w:val="false"/>
        <w:iCs w:val="false"/>
        <w:color w:val="071B2D"/>
        <w:sz w:val="18"/>
        <w:szCs w:val="18"/>
      </w:rPr>
      <w:t xml:space="preserve">SCOUTGRID</w:t>
    </w:r>
    <w:r>
      <w:rPr>
        <w:rFonts w:ascii="Calibri" w:cs="Calibri" w:eastAsia="Calibri" w:hAnsi="Calibri"/>
        <w:b w:val="false"/>
        <w:bCs w:val="false"/>
        <w:i w:val="false"/>
        <w:iCs w:val="false"/>
        <w:color w:val="5B6B78"/>
        <w:sz w:val="17"/>
        <w:szCs w:val="17"/>
      </w:rPr>
      <w:t xml:space="preserve">   |   CUSTOMER VALUE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E146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3244"/>
        <w:sz w:val="22"/>
        <w:szCs w:val="22"/>
      </w:rPr>
    </w:rPrDefault>
    <w:pPrDefault>
      <w:pPr>
        <w:spacing w:after="160"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pPr>
      <w:spacing w:after="160" w:before="0" w:line="320" w:lineRule="auto"/>
    </w:pPr>
    <w:rPr>
      <w:rFonts w:ascii="Calibri" w:cs="Calibri" w:eastAsia="Calibri" w:hAnsi="Calibri"/>
      <w:color w:val="203244"/>
      <w:sz w:val="22"/>
      <w:szCs w:val="22"/>
    </w:rPr>
  </w:style>
  <w:style w:type="paragraph" w:styleId="Title">
    <w:name w:val="Title"/>
    <w:basedOn w:val="Normal"/>
    <w:next w:val="Normal"/>
    <w:qFormat/>
    <w:pPr>
      <w:spacing w:after="80" w:before="0" w:line="650" w:lineRule="auto"/>
    </w:pPr>
    <w:rPr>
      <w:rFonts w:ascii="Calibri" w:cs="Calibri" w:eastAsia="Calibri" w:hAnsi="Calibri"/>
      <w:b/>
      <w:bCs/>
      <w:color w:val="071B2D"/>
      <w:sz w:val="62"/>
      <w:szCs w:val="62"/>
    </w:rPr>
  </w:style>
  <w:style w:type="paragraph" w:styleId="Subtitle">
    <w:name w:val="Subtitle"/>
    <w:basedOn w:val="Normal"/>
    <w:next w:val="Normal"/>
    <w:qFormat/>
    <w:pPr>
      <w:spacing w:after="220" w:before="0" w:line="360" w:lineRule="auto"/>
    </w:pPr>
    <w:rPr>
      <w:rFonts w:ascii="Calibri" w:cs="Calibri" w:eastAsia="Calibri" w:hAnsi="Calibri"/>
      <w:color w:val="146FA3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after="200" w:before="360" w:line="380" w:lineRule="auto"/>
    </w:pPr>
    <w:rPr>
      <w:rFonts w:ascii="Calibri" w:cs="Calibri" w:eastAsia="Calibri" w:hAnsi="Calibri"/>
      <w:b/>
      <w:bCs/>
      <w:color w:val="146FA3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 w:line="320" w:lineRule="auto"/>
    </w:pPr>
    <w:rPr>
      <w:rFonts w:ascii="Calibri" w:cs="Calibri" w:eastAsia="Calibri" w:hAnsi="Calibri"/>
      <w:b/>
      <w:bCs/>
      <w:color w:val="146FA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 w:line="290" w:lineRule="auto"/>
    </w:pPr>
    <w:rPr>
      <w:rFonts w:ascii="Calibri" w:cs="Calibri" w:eastAsia="Calibri" w:hAnsi="Calibri"/>
      <w:b/>
      <w:bCs/>
      <w:color w:val="071B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ScoutGrid Customer Value and Positioning Brief</dc:title>
  <dc:subject>Customer value from vulnerability intelligence, fix intelligence, suppression, agentic remediation, and campaigns</dc:subject>
  <dc:creator>ScoutGrid</dc:creator>
  <dc:description>Prospect-ready positioning centered on organizational value and action.</dc:description>
  <cp:lastModifiedBy>Un-named</cp:lastModifiedBy>
  <cp:revision>1</cp:revision>
  <dcterms:created xsi:type="dcterms:W3CDTF">2026-07-27T16:11:24.688Z</dcterms:created>
  <dcterms:modified xsi:type="dcterms:W3CDTF">2026-07-27T16:11:24.688Z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