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10080" w:val="right"/>
        </w:tabs>
        <w:spacing w:before="0" w:after="100" w:line="240" w:lineRule="auto"/>
      </w:pPr>
      <w:r>
        <w:rPr>
          <w:rFonts w:ascii="Calibri" w:hAnsi="Calibri"/>
          <w:b/>
          <w:color w:val="102A43"/>
          <w:sz w:val="15"/>
        </w:rPr>
        <w:t>SCOUTGRID  /  PRODUCT POSITIONING</w:t>
      </w:r>
      <w:r>
        <w:rPr>
          <w:rFonts w:ascii="Calibri" w:hAnsi="Calibri"/>
          <w:color w:val="627D98"/>
          <w:sz w:val="15"/>
        </w:rPr>
        <w:tab/>
        <w:t>scoutgrid.io</w:t>
      </w:r>
    </w:p>
    <w:p>
      <w:pPr>
        <w:pStyle w:val="Title"/>
        <w:keepNext/>
        <w:spacing w:before="80" w:after="40" w:line="240" w:lineRule="auto"/>
      </w:pPr>
      <w:r>
        <w:rPr>
          <w:rFonts w:ascii="Calibri" w:hAnsi="Calibri"/>
          <w:b/>
          <w:i w:val="0"/>
          <w:color w:val="102A43"/>
          <w:sz w:val="50"/>
        </w:rPr>
        <w:t>Make exposure decisions faster - and remediation accountable.</w:t>
      </w:r>
    </w:p>
    <w:p>
      <w:pPr>
        <w:pStyle w:val="Subtitle"/>
        <w:keepNext/>
        <w:spacing w:before="0" w:after="140" w:line="240" w:lineRule="auto"/>
      </w:pPr>
      <w:r>
        <w:rPr>
          <w:rFonts w:ascii="Calibri" w:hAnsi="Calibri"/>
          <w:b w:val="0"/>
          <w:i/>
          <w:color w:val="0F5962"/>
          <w:sz w:val="26"/>
        </w:rPr>
        <w:t>ScoutGrid combines vulnerability intelligence and fix intelligence to help teams focus on material risk, reduce time-to-answer, and move remediation forward with confidence.</w:t>
      </w:r>
    </w:p>
    <w:tbl>
      <w:tblPr>
        <w:tblW w:type="dxa" w:w="99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960"/>
      </w:tblGrid>
      <w:tr>
        <w:tc>
          <w:tcPr>
            <w:tcW w:type="dxa" w:w="9960"/>
            <w:shd w:fill="EAF5F6"/>
            <w:tcMar>
              <w:top w:w="115" w:type="dxa"/>
              <w:start w:w="170" w:type="dxa"/>
              <w:bottom w:w="115" w:type="dxa"/>
              <w:end w:w="170" w:type="dxa"/>
            </w:tcMar>
            <w:vAlign w:val="center"/>
            <w:tcBorders>
              <w:top w:val="single" w:sz="5" w:color="167D89"/>
              <w:bottom w:val="single" w:sz="5" w:color="167D89"/>
              <w:start w:val="single" w:sz="24" w:color="167D89"/>
              <w:end w:val="single" w:sz="5" w:color="167D89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F5962"/>
                <w:sz w:val="20"/>
              </w:rPr>
              <w:t xml:space="preserve">CUSTOMER VALUE  </w:t>
            </w:r>
            <w:r>
              <w:rPr>
                <w:rFonts w:ascii="Calibri" w:hAnsi="Calibri"/>
                <w:b w:val="0"/>
                <w:i w:val="0"/>
                <w:color w:val="243B53"/>
                <w:sz w:val="21"/>
              </w:rPr>
              <w:t>A clear view of material exposure, practical fix guidance, less noise through automatic suppressions, and coordinated execution through agentic remediation and campaigns.</w:t>
            </w:r>
          </w:p>
        </w:tc>
      </w:tr>
    </w:tbl>
    <w:p>
      <w:pPr>
        <w:pStyle w:val="Heading1"/>
        <w:keepNext/>
        <w:spacing w:before="140" w:after="60" w:line="240" w:lineRule="auto"/>
      </w:pPr>
      <w:r>
        <w:rPr>
          <w:rFonts w:ascii="Calibri" w:hAnsi="Calibri"/>
          <w:b/>
          <w:i w:val="0"/>
          <w:color w:val="0F5962"/>
          <w:sz w:val="27"/>
        </w:rPr>
        <w:t>The decisions your organization needs to make</w:t>
      </w:r>
    </w:p>
    <w:p>
      <w:pPr>
        <w:keepNext w:val="0"/>
        <w:spacing w:before="0" w:after="80" w:line="259" w:lineRule="auto"/>
      </w:pPr>
      <w:r>
        <w:rPr>
          <w:rFonts w:ascii="Calibri" w:hAnsi="Calibri"/>
          <w:b w:val="0"/>
          <w:i w:val="0"/>
          <w:color w:val="243B53"/>
          <w:sz w:val="20"/>
        </w:rPr>
        <w:t xml:space="preserve">ScoutGrid helps leaders and teams answer the questions that drive action: </w:t>
      </w:r>
      <w:r>
        <w:rPr>
          <w:rFonts w:ascii="Calibri" w:hAnsi="Calibri"/>
          <w:b/>
          <w:i w:val="0"/>
          <w:color w:val="102A43"/>
          <w:sz w:val="20"/>
        </w:rPr>
        <w:t>Are we affected?  What deserves priority?  What is the safest, fastest fix?  Who owns the response?  Are we reducing exposure fast enough?</w:t>
      </w:r>
    </w:p>
    <w:p>
      <w:pPr>
        <w:pStyle w:val="Heading1"/>
        <w:keepNext/>
        <w:spacing w:before="100" w:after="60" w:line="240" w:lineRule="auto"/>
      </w:pPr>
      <w:r>
        <w:rPr>
          <w:rFonts w:ascii="Calibri" w:hAnsi="Calibri"/>
          <w:b/>
          <w:i w:val="0"/>
          <w:color w:val="0F5962"/>
          <w:sz w:val="27"/>
        </w:rPr>
        <w:t>Value across the organization</w:t>
      </w:r>
    </w:p>
    <w:tbl>
      <w:tblPr>
        <w:tblW w:type="dxa" w:w="9960"/>
        <w:jc w:val="left"/>
        <w:tblLayout w:type="fixed"/>
        <w:tblLook w:firstColumn="1" w:firstRow="1" w:lastColumn="0" w:lastRow="0" w:noHBand="0" w:noVBand="1" w:val="04A0"/>
        <w:tblInd w:w="125" w:type="dxa"/>
      </w:tblPr>
      <w:tblGrid>
        <w:gridCol w:w="3320"/>
        <w:gridCol w:w="3320"/>
        <w:gridCol w:w="3320"/>
      </w:tblGrid>
      <w:tr>
        <w:tc>
          <w:tcPr>
            <w:tcW w:type="dxa" w:w="3320"/>
            <w:shd w:fill="F0F4F8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BD5E1"/>
              <w:bottom w:val="single" w:sz="5" w:color="CBD5E1"/>
              <w:start w:val="single" w:sz="5" w:color="CBD5E1"/>
              <w:end w:val="single" w:sz="5" w:color="CBD5E1"/>
            </w:tcBorders>
            <w:vAlign w:val="center"/>
          </w:tcPr>
          <w:p>
            <w:pPr>
              <w:spacing w:after="60" w:line="240" w:lineRule="auto"/>
            </w:pPr>
            <w:r>
              <w:rPr>
                <w:rFonts w:ascii="Calibri" w:hAnsi="Calibri"/>
                <w:b/>
                <w:i w:val="0"/>
                <w:color w:val="0F5962"/>
                <w:sz w:val="17"/>
              </w:rPr>
              <w:t>1  DECIDE FASTER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3B53"/>
                <w:sz w:val="18"/>
              </w:rPr>
              <w:t>Vulnerability intelligence gives teams timely context to understand urgency and organizational impact.</w:t>
            </w:r>
          </w:p>
        </w:tc>
        <w:tc>
          <w:tcPr>
            <w:tcW w:type="dxa" w:w="3320"/>
            <w:shd w:fill="EAF5F6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BD5E1"/>
              <w:bottom w:val="single" w:sz="5" w:color="CBD5E1"/>
              <w:start w:val="single" w:sz="5" w:color="CBD5E1"/>
              <w:end w:val="single" w:sz="5" w:color="CBD5E1"/>
            </w:tcBorders>
            <w:vAlign w:val="center"/>
          </w:tcPr>
          <w:p>
            <w:pPr>
              <w:spacing w:after="60" w:line="240" w:lineRule="auto"/>
            </w:pPr>
            <w:r>
              <w:rPr>
                <w:rFonts w:ascii="Calibri" w:hAnsi="Calibri"/>
                <w:b/>
                <w:i w:val="0"/>
                <w:color w:val="0F5962"/>
                <w:sz w:val="17"/>
              </w:rPr>
              <w:t>2  FOCUS ON WHAT MATTERS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3B53"/>
                <w:sz w:val="18"/>
              </w:rPr>
              <w:t>Automatic suppressions reduce repeated, known-safe, and non-actionable noise so capacity stays on material risk.</w:t>
            </w:r>
          </w:p>
        </w:tc>
        <w:tc>
          <w:tcPr>
            <w:tcW w:type="dxa" w:w="3320"/>
            <w:shd w:fill="F0F4F8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top w:val="single" w:sz="5" w:color="CBD5E1"/>
              <w:bottom w:val="single" w:sz="5" w:color="CBD5E1"/>
              <w:start w:val="single" w:sz="5" w:color="CBD5E1"/>
              <w:end w:val="single" w:sz="5" w:color="CBD5E1"/>
            </w:tcBorders>
            <w:vAlign w:val="center"/>
          </w:tcPr>
          <w:p>
            <w:pPr>
              <w:spacing w:after="60" w:line="240" w:lineRule="auto"/>
            </w:pPr>
            <w:r>
              <w:rPr>
                <w:rFonts w:ascii="Calibri" w:hAnsi="Calibri"/>
                <w:b/>
                <w:i w:val="0"/>
                <w:color w:val="0F5962"/>
                <w:sz w:val="17"/>
              </w:rPr>
              <w:t>3  REMEDIATE AT SCALE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3B53"/>
                <w:sz w:val="18"/>
              </w:rPr>
              <w:t>Fix intelligence, agentic remediation, and campaigns help teams move from decision to accountable progress.</w:t>
            </w:r>
          </w:p>
        </w:tc>
      </w:tr>
    </w:tbl>
    <w:p>
      <w:pPr>
        <w:pStyle w:val="Heading1"/>
        <w:keepNext/>
        <w:spacing w:before="120" w:after="40" w:line="240" w:lineRule="auto"/>
      </w:pPr>
      <w:r>
        <w:rPr>
          <w:rFonts w:ascii="Calibri" w:hAnsi="Calibri"/>
          <w:b/>
          <w:i w:val="0"/>
          <w:color w:val="0F5962"/>
          <w:sz w:val="27"/>
        </w:rPr>
        <w:t>What customers gain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Actionable vulnerability intelligence</w:t>
      </w:r>
      <w:r>
        <w:rPr>
          <w:rFonts w:ascii="Calibri" w:hAnsi="Calibri"/>
          <w:b w:val="0"/>
          <w:i w:val="0"/>
          <w:color w:val="243B53"/>
          <w:sz w:val="20"/>
        </w:rPr>
        <w:t xml:space="preserve"> - Turn new risk information into a faster, clearer organizational response.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Practical fix intelligence</w:t>
      </w:r>
      <w:r>
        <w:rPr>
          <w:rFonts w:ascii="Calibri" w:hAnsi="Calibri"/>
          <w:b w:val="0"/>
          <w:i w:val="0"/>
          <w:color w:val="243B53"/>
          <w:sz w:val="20"/>
        </w:rPr>
        <w:t xml:space="preserve"> - Give teams guidance to choose safer, more effective remediation paths.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Lower-noise operations</w:t>
      </w:r>
      <w:r>
        <w:rPr>
          <w:rFonts w:ascii="Calibri" w:hAnsi="Calibri"/>
          <w:b w:val="0"/>
          <w:i w:val="0"/>
          <w:color w:val="243B53"/>
          <w:sz w:val="20"/>
        </w:rPr>
        <w:t xml:space="preserve"> - Use automatic suppressions to reduce repetitive noise and keep priority views relevant.</w:t>
      </w:r>
    </w:p>
    <w:p>
      <w:pPr>
        <w:pStyle w:val="Heading1"/>
        <w:keepNext/>
        <w:spacing w:before="100" w:after="40" w:line="240" w:lineRule="auto"/>
      </w:pPr>
      <w:r>
        <w:rPr>
          <w:rFonts w:ascii="Calibri" w:hAnsi="Calibri"/>
          <w:b/>
          <w:i w:val="0"/>
          <w:color w:val="0F5962"/>
          <w:sz w:val="27"/>
        </w:rPr>
        <w:t>High-value outcomes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Zero-day readiness</w:t>
      </w:r>
      <w:r>
        <w:rPr>
          <w:rFonts w:ascii="Calibri" w:hAnsi="Calibri"/>
          <w:b w:val="0"/>
          <w:i w:val="0"/>
          <w:color w:val="243B53"/>
          <w:sz w:val="20"/>
        </w:rPr>
        <w:t xml:space="preserve"> - Determine organizational impact quickly and give response teams a clear, defensible priority.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Agentic remediation</w:t>
      </w:r>
      <w:r>
        <w:rPr>
          <w:rFonts w:ascii="Calibri" w:hAnsi="Calibri"/>
          <w:b w:val="0"/>
          <w:i w:val="0"/>
          <w:color w:val="243B53"/>
          <w:sz w:val="20"/>
        </w:rPr>
        <w:t xml:space="preserve"> - Accelerate response and reduce manual effort while keeping teams in control of remediation decisions.</w:t>
      </w:r>
    </w:p>
    <w:p>
      <w:pPr>
        <w:pStyle w:val="ScoutGridBullet"/>
        <w:keepNext w:val="0"/>
        <w:spacing w:before="0" w:after="70" w:line="264" w:lineRule="auto"/>
      </w:pPr>
      <w:r>
        <w:rPr>
          <w:rFonts w:ascii="Calibri" w:hAnsi="Calibri"/>
          <w:b/>
          <w:i w:val="0"/>
          <w:color w:val="102A43"/>
          <w:sz w:val="20"/>
        </w:rPr>
        <w:t>Campaign-driven execution</w:t>
      </w:r>
      <w:r>
        <w:rPr>
          <w:rFonts w:ascii="Calibri" w:hAnsi="Calibri"/>
          <w:b w:val="0"/>
          <w:i w:val="0"/>
          <w:color w:val="243B53"/>
          <w:sz w:val="20"/>
        </w:rPr>
        <w:t xml:space="preserve"> - Coordinate related remediation priorities across owners, deadlines, and leadership reporting.</w:t>
      </w:r>
    </w:p>
    <w:p>
      <w:pPr>
        <w:pStyle w:val="Heading1"/>
        <w:keepNext/>
        <w:spacing w:before="100" w:after="40" w:line="240" w:lineRule="auto"/>
      </w:pPr>
      <w:r>
        <w:rPr>
          <w:rFonts w:ascii="Calibri" w:hAnsi="Calibri"/>
          <w:b/>
          <w:i w:val="0"/>
          <w:color w:val="0F5962"/>
          <w:sz w:val="27"/>
        </w:rPr>
        <w:t>Value for every stakeholder</w:t>
      </w:r>
    </w:p>
    <w:p>
      <w:pPr>
        <w:keepNext w:val="0"/>
        <w:spacing w:before="0" w:after="100" w:line="252" w:lineRule="auto"/>
      </w:pPr>
      <w:r>
        <w:rPr>
          <w:rFonts w:ascii="Calibri" w:hAnsi="Calibri"/>
          <w:b/>
          <w:i w:val="0"/>
          <w:color w:val="102A43"/>
          <w:sz w:val="20"/>
        </w:rPr>
        <w:t>Security leadership gains risk visibility  |  Vulnerability management gains focus  |  Application security gains fix guidance  |  Infrastructure and cloud teams gain clear priorities  |  Risk and compliance gain evidence and accountability</w:t>
      </w:r>
    </w:p>
    <w:tbl>
      <w:tblPr>
        <w:tblW w:type="dxa" w:w="99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960"/>
      </w:tblGrid>
      <w:tr>
        <w:tc>
          <w:tcPr>
            <w:tcW w:type="dxa" w:w="9960"/>
            <w:shd w:fill="0F5962"/>
            <w:tcMar>
              <w:top w:w="115" w:type="dxa"/>
              <w:start w:w="170" w:type="dxa"/>
              <w:bottom w:w="115" w:type="dxa"/>
              <w:end w:w="170" w:type="dxa"/>
            </w:tcMar>
            <w:vAlign w:val="center"/>
            <w:tcBorders>
              <w:top w:val="single" w:sz="5" w:color="0F5962"/>
              <w:bottom w:val="single" w:sz="5" w:color="0F5962"/>
              <w:start w:val="single" w:sz="24" w:color="167D89"/>
              <w:end w:val="single" w:sz="5" w:color="0F5962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Bring one representative risk scenario. See how vulnerability intelligence, fix intelligence, automatic suppressions, agentic remediation, and campaigns translate into faster decisions and accountable risk reduction.</w:t>
            </w:r>
          </w:p>
        </w:tc>
      </w:tr>
    </w:tbl>
    <w:p>
      <w:pPr>
        <w:keepNext w:val="0"/>
        <w:spacing w:before="60" w:after="0" w:line="240" w:lineRule="auto"/>
        <w:jc w:val="center"/>
      </w:pPr>
      <w:r>
        <w:rPr>
          <w:rFonts w:ascii="Calibri" w:hAnsi="Calibri"/>
          <w:b w:val="0"/>
          <w:i/>
          <w:color w:val="627D98"/>
          <w:sz w:val="14"/>
        </w:rPr>
        <w:t>The result: less noise, faster fixes, and measurable progress across security and engineering.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35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27D98"/>
        <w:sz w:val="15"/>
      </w:rPr>
      <w:t>Less noise. Faster fixes. Accountable risk reduction.  |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5962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02A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0F59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outGridBullet">
    <w:name w:val="ScoutGrid Bullet"/>
    <w:pPr>
      <w:spacing w:after="70" w:line="264" w:lineRule="auto"/>
      <w:ind w:left="259" w:firstLine="0"/>
    </w:pPr>
    <w:rPr>
      <w:rFonts w:ascii="Calibri" w:hAnsi="Calibri"/>
      <w:color w:val="243B5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ScoutGrid Product Positioning - One Page</dc:title>
  <dc:subject>Customer positioning with vulnerability and remediation intelligence</dc:subject>
  <dc:creator>ScoutGrid</dc:creator>
  <cp:keywords>ScoutGrid, vulnerability management, SBOM, exposure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