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pPr>
      <w:r>
        <w:rPr>
          <w:b/>
          <w:sz w:val="36"/>
          <w:color w:val="1A2A4A"/>
        </w:rPr>
        <w:t>COMMERCIAL PACKAGE POLICY</w:t>
      </w:r>
    </w:p>
    <w:p/>
    <w:p>
      <w:r>
        <w:rPr>
          <w:sz w:val="22"/>
        </w:rPr>
        <w:t xml:space="preserve">GreatWest Mutual Insurance Company</w:t>
      </w:r>
    </w:p>
    <w:p>
      <w:r>
        <w:rPr>
          <w:sz w:val="22"/>
        </w:rPr>
        <w:t xml:space="preserve">5200 Commerce Drive, Charlotte, NC 28201</w:t>
      </w:r>
    </w:p>
    <w:p>
      <w:r>
        <w:rPr>
          <w:sz w:val="22"/>
        </w:rPr>
        <w:t xml:space="preserve">Toll-free: 1-800-555-0180  |  claims@greatwestmutual.com</w:t>
      </w:r>
    </w:p>
    <w:p>
      <w:pPr>
        <w:pBdr>
          <w:bottom w:val="single" w:sz="4" w:space="4" w:color="CCCCCC"/>
        </w:pBdr>
      </w:pPr>
    </w:p>
    <w:p/>
    <w:p>
      <w:pPr>
        <w:pBdr>
          <w:bottom w:val="single" w:sz="6" w:space="4" w:color="1A2A4A"/>
        </w:pBdr>
      </w:pPr>
      <w:r>
        <w:rPr>
          <w:b/>
          <w:sz w:val="28"/>
          <w:color w:val="1A2A4A"/>
        </w:rPr>
        <w:t>DECLARATIONS PAGE</w:t>
      </w:r>
    </w:p>
    <w:p/>
    <w:p>
      <w:r>
        <w:rPr>
          <w:b/>
          <w:sz w:val="22"/>
        </w:rPr>
        <w:t xml:space="preserve">Policy Number:  </w:t>
      </w:r>
      <w:r>
        <w:rPr>
          <w:sz w:val="22"/>
        </w:rPr>
        <w:t>CPP-48291-B</w:t>
      </w:r>
    </w:p>
    <w:p>
      <w:r>
        <w:rPr>
          <w:b/>
          <w:sz w:val="22"/>
        </w:rPr>
        <w:t xml:space="preserve">Policy Type:  </w:t>
      </w:r>
      <w:r>
        <w:rPr>
          <w:sz w:val="22"/>
        </w:rPr>
        <w:t>Commercial Package Policy (CPP)</w:t>
      </w:r>
    </w:p>
    <w:p>
      <w:r>
        <w:rPr>
          <w:b/>
          <w:sz w:val="22"/>
        </w:rPr>
        <w:t xml:space="preserve">Effective Date:  </w:t>
      </w:r>
      <w:r>
        <w:rPr>
          <w:sz w:val="22"/>
        </w:rPr>
        <w:t>February 14, 2026</w:t>
      </w:r>
    </w:p>
    <w:p>
      <w:r>
        <w:rPr>
          <w:b/>
          <w:sz w:val="22"/>
        </w:rPr>
        <w:t xml:space="preserve">Expiration Date:  </w:t>
      </w:r>
      <w:r>
        <w:rPr>
          <w:sz w:val="22"/>
        </w:rPr>
        <w:t>February 14, 2027</w:t>
      </w:r>
    </w:p>
    <w:p>
      <w:r>
        <w:rPr>
          <w:b/>
          <w:sz w:val="22"/>
        </w:rPr>
        <w:t xml:space="preserve">Issue Date:  </w:t>
      </w:r>
      <w:r>
        <w:rPr>
          <w:sz w:val="22"/>
        </w:rPr>
        <w:t>February 1, 2026</w:t>
      </w:r>
    </w:p>
    <w:p/>
    <w:p>
      <w:r>
        <w:rPr>
          <w:b/>
          <w:sz w:val="22"/>
        </w:rPr>
        <w:t xml:space="preserve">Named Insured:  </w:t>
      </w:r>
      <w:r>
        <w:rPr>
          <w:sz w:val="22"/>
        </w:rPr>
        <w:t>Lumen &amp; Loaf, LLC</w:t>
      </w:r>
    </w:p>
    <w:p>
      <w:r>
        <w:rPr>
          <w:b/>
          <w:sz w:val="22"/>
        </w:rPr>
        <w:t xml:space="preserve">DBA:  </w:t>
      </w:r>
      <w:r>
        <w:rPr>
          <w:sz w:val="22"/>
        </w:rPr>
        <w:t>Lumen &amp; Loaf Restaurant &amp; Bakery</w:t>
      </w:r>
    </w:p>
    <w:p>
      <w:r>
        <w:rPr>
          <w:b/>
          <w:sz w:val="22"/>
        </w:rPr>
        <w:t xml:space="preserve">Mailing Address:  </w:t>
      </w:r>
      <w:r>
        <w:rPr>
          <w:sz w:val="22"/>
        </w:rPr>
        <w:t>412 Lexington Avenue, Asheville, NC 28801</w:t>
      </w:r>
    </w:p>
    <w:p>
      <w:r>
        <w:rPr>
          <w:b/>
          <w:sz w:val="22"/>
        </w:rPr>
        <w:t xml:space="preserve">Business Type:  </w:t>
      </w:r>
      <w:r>
        <w:rPr>
          <w:sz w:val="22"/>
        </w:rPr>
        <w:t>Restaurant / Bakery — Full Service</w:t>
      </w:r>
    </w:p>
    <w:p>
      <w:r>
        <w:rPr>
          <w:b/>
          <w:sz w:val="22"/>
        </w:rPr>
        <w:t xml:space="preserve">SIC Code:  </w:t>
      </w:r>
      <w:r>
        <w:rPr>
          <w:sz w:val="22"/>
        </w:rPr>
        <w:t>5812 — Eating Places</w:t>
      </w:r>
    </w:p>
    <w:p>
      <w:r>
        <w:rPr>
          <w:b/>
          <w:sz w:val="22"/>
        </w:rPr>
        <w:t xml:space="preserve">FEIN:  </w:t>
      </w:r>
      <w:r>
        <w:rPr>
          <w:sz w:val="22"/>
        </w:rPr>
        <w:t>84-4129203</w:t>
      </w:r>
    </w:p>
    <w:p/>
    <w:p>
      <w:r>
        <w:rPr>
          <w:b/>
          <w:sz w:val="22"/>
        </w:rPr>
        <w:t xml:space="preserve">Insurer:  </w:t>
      </w:r>
      <w:r>
        <w:rPr>
          <w:sz w:val="22"/>
        </w:rPr>
        <w:t>GreatWest Mutual Insurance Company</w:t>
      </w:r>
    </w:p>
    <w:p>
      <w:r>
        <w:rPr>
          <w:b/>
          <w:sz w:val="22"/>
        </w:rPr>
        <w:t xml:space="preserve">Agent:  </w:t>
      </w:r>
      <w:r>
        <w:rPr>
          <w:sz w:val="22"/>
        </w:rPr>
        <w:t>Blue Ridge Insurance Group — James Halloran</w:t>
      </w:r>
    </w:p>
    <w:p>
      <w:r>
        <w:rPr>
          <w:b/>
          <w:sz w:val="22"/>
        </w:rPr>
        <w:t xml:space="preserve">Agent License #:  </w:t>
      </w:r>
      <w:r>
        <w:rPr>
          <w:sz w:val="22"/>
        </w:rPr>
        <w:t>NC-2047821</w:t>
      </w:r>
    </w:p>
    <w:p>
      <w:r>
        <w:rPr>
          <w:b/>
          <w:sz w:val="22"/>
        </w:rPr>
        <w:t xml:space="preserve">Agent Phone:  </w:t>
      </w:r>
      <w:r>
        <w:rPr>
          <w:sz w:val="22"/>
        </w:rPr>
        <w:t>(828) 555-0142</w:t>
      </w:r>
    </w:p>
    <w:p/>
    <w:p>
      <w:pPr>
        <w:pBdr>
          <w:bottom w:val="single" w:sz="6" w:space="4" w:color="1A2A4A"/>
        </w:pBdr>
      </w:pPr>
      <w:r>
        <w:rPr>
          <w:b/>
          <w:sz w:val="28"/>
          <w:color w:val="1A2A4A"/>
        </w:rPr>
        <w:t>PREMIUM SUMMARY</w:t>
      </w:r>
    </w:p>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tcW w:w="3000" w:type="dxa"/>
            <w:shd w:val="clear" w:color="auto" w:fill="1A2A4A"/>
          </w:tcPr>
          <w:p>
            <w:r>
              <w:rPr>
                <w:color w:val="FFFFFF"/>
                <w:b/>
                <w:sz w:val="20"/>
              </w:rPr>
              <w:t xml:space="preserve">Coverage Part</w:t>
            </w:r>
          </w:p>
        </w:tc>
        <w:tc>
          <w:tcPr>
            <w:tcW w:w="3000" w:type="dxa"/>
            <w:shd w:val="clear" w:color="auto" w:fill="1A2A4A"/>
          </w:tcPr>
          <w:p>
            <w:r>
              <w:rPr>
                <w:color w:val="FFFFFF"/>
                <w:b/>
                <w:sz w:val="20"/>
              </w:rPr>
              <w:t xml:space="preserve">Annual Premium</w:t>
            </w:r>
          </w:p>
        </w:tc>
      </w:tr>
      <w:tr>
        <w:tc>
          <w:tcPr>
            <w:tcW w:w="3000" w:type="dxa"/>
          </w:tcPr>
          <w:p>
            <w:r>
              <w:rPr>
                <w:sz w:val="20"/>
              </w:rPr>
              <w:t xml:space="preserve">Commercial Property (Section I)</w:t>
            </w:r>
          </w:p>
        </w:tc>
        <w:tc>
          <w:tcPr>
            <w:tcW w:w="3000" w:type="dxa"/>
          </w:tcPr>
          <w:p>
            <w:r>
              <w:rPr>
                <w:sz w:val="20"/>
              </w:rPr>
              <w:t xml:space="preserve">$3,240</w:t>
            </w:r>
          </w:p>
        </w:tc>
      </w:tr>
      <w:tr>
        <w:tc>
          <w:tcPr>
            <w:tcW w:w="3000" w:type="dxa"/>
          </w:tcPr>
          <w:p>
            <w:r>
              <w:rPr>
                <w:sz w:val="20"/>
              </w:rPr>
              <w:t xml:space="preserve">General Liability (Section II)</w:t>
            </w:r>
          </w:p>
        </w:tc>
        <w:tc>
          <w:tcPr>
            <w:tcW w:w="3000" w:type="dxa"/>
          </w:tcPr>
          <w:p>
            <w:r>
              <w:rPr>
                <w:sz w:val="20"/>
              </w:rPr>
              <w:t xml:space="preserve">$1,180</w:t>
            </w:r>
          </w:p>
        </w:tc>
      </w:tr>
      <w:tr>
        <w:tc>
          <w:tcPr>
            <w:tcW w:w="3000" w:type="dxa"/>
          </w:tcPr>
          <w:p>
            <w:r>
              <w:rPr>
                <w:sz w:val="20"/>
              </w:rPr>
              <w:t xml:space="preserve">Equipment Breakdown</w:t>
            </w:r>
          </w:p>
        </w:tc>
        <w:tc>
          <w:tcPr>
            <w:tcW w:w="3000" w:type="dxa"/>
          </w:tcPr>
          <w:p>
            <w:r>
              <w:rPr>
                <w:sz w:val="20"/>
              </w:rPr>
              <w:t xml:space="preserve">$280</w:t>
            </w:r>
          </w:p>
        </w:tc>
      </w:tr>
      <w:tr>
        <w:tc>
          <w:tcPr>
            <w:tcW w:w="3000" w:type="dxa"/>
          </w:tcPr>
          <w:p>
            <w:r>
              <w:rPr>
                <w:sz w:val="20"/>
              </w:rPr>
              <w:t xml:space="preserve">Inland Marine — Wine &amp; Spirits Inventory</w:t>
            </w:r>
          </w:p>
        </w:tc>
        <w:tc>
          <w:tcPr>
            <w:tcW w:w="3000" w:type="dxa"/>
          </w:tcPr>
          <w:p>
            <w:r>
              <w:rPr>
                <w:sz w:val="20"/>
              </w:rPr>
              <w:t xml:space="preserve">$120</w:t>
            </w:r>
          </w:p>
        </w:tc>
      </w:tr>
      <w:tr>
        <w:tc>
          <w:tcPr>
            <w:tcW w:w="3000" w:type="dxa"/>
          </w:tcPr>
          <w:p>
            <w:r>
              <w:rPr>
                <w:sz w:val="20"/>
              </w:rPr>
              <w:t xml:space="preserve">TOTAL ANNUAL PREMIUM</w:t>
            </w:r>
          </w:p>
        </w:tc>
        <w:tc>
          <w:tcPr>
            <w:tcW w:w="3000" w:type="dxa"/>
          </w:tcPr>
          <w:p>
            <w:r>
              <w:rPr>
                <w:sz w:val="20"/>
              </w:rPr>
              <w:t xml:space="preserve">$4,820</w:t>
            </w:r>
          </w:p>
        </w:tc>
      </w:tr>
    </w:tbl>
    <w:p/>
    <w:p>
      <w:r>
        <w:rPr>
          <w:sz w:val="22"/>
        </w:rPr>
        <w:t xml:space="preserve">Payment: Annual. Due in full by February 14, 2026.</w:t>
      </w:r>
    </w:p>
    <w:p/>
    <w:p>
      <w:pPr>
        <w:pBdr>
          <w:bottom w:val="single" w:sz="6" w:space="4" w:color="1A2A4A"/>
        </w:pBdr>
      </w:pPr>
      <w:r>
        <w:rPr>
          <w:b/>
          <w:sz w:val="28"/>
          <w:color w:val="1A2A4A"/>
        </w:rPr>
        <w:t>SECTION I — COMMERCIAL PROPERTY</w:t>
      </w:r>
    </w:p>
    <w:p/>
    <w:p>
      <w:r>
        <w:rPr>
          <w:b/>
          <w:sz w:val="24"/>
        </w:rPr>
        <w:t>1.1  Covered Locations</w:t>
      </w:r>
    </w:p>
    <w:p>
      <w:r>
        <w:rPr>
          <w:sz w:val="22"/>
        </w:rPr>
        <w:t xml:space="preserve">Location 1:  412 Lexington Avenue, Asheville, NC 28801</w:t>
      </w:r>
    </w:p>
    <w:p>
      <w:r>
        <w:rPr>
          <w:sz w:val="22"/>
        </w:rPr>
        <w:t xml:space="preserve">Occupancy:   Restaurant with on-premises bakery and bar</w:t>
      </w:r>
    </w:p>
    <w:p>
      <w:r>
        <w:rPr>
          <w:sz w:val="22"/>
        </w:rPr>
        <w:t xml:space="preserve">Construction: Joisted masonry, built 1948, renovated 2019</w:t>
      </w:r>
    </w:p>
    <w:p>
      <w:r>
        <w:rPr>
          <w:sz w:val="22"/>
        </w:rPr>
        <w:t xml:space="preserve">Square Footage: 3,400 sq ft interior + 800 sq ft outdoor patio</w:t>
      </w:r>
    </w:p>
    <w:p/>
    <w:p>
      <w:r>
        <w:rPr>
          <w:b/>
          <w:sz w:val="24"/>
        </w:rPr>
        <w:t>1.2  Coverage Limits</w:t>
      </w:r>
    </w:p>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tcW w:w="3000" w:type="dxa"/>
            <w:shd w:val="clear" w:color="auto" w:fill="1A2A4A"/>
          </w:tcPr>
          <w:p>
            <w:r>
              <w:rPr>
                <w:color w:val="FFFFFF"/>
                <w:b/>
                <w:sz w:val="20"/>
              </w:rPr>
              <w:t xml:space="preserve">Coverage</w:t>
            </w:r>
          </w:p>
        </w:tc>
        <w:tc>
          <w:tcPr>
            <w:tcW w:w="3000" w:type="dxa"/>
            <w:shd w:val="clear" w:color="auto" w:fill="1A2A4A"/>
          </w:tcPr>
          <w:p>
            <w:r>
              <w:rPr>
                <w:color w:val="FFFFFF"/>
                <w:b/>
                <w:sz w:val="20"/>
              </w:rPr>
              <w:t xml:space="preserve">Limit of Insurance</w:t>
            </w:r>
          </w:p>
        </w:tc>
        <w:tc>
          <w:tcPr>
            <w:tcW w:w="3000" w:type="dxa"/>
            <w:shd w:val="clear" w:color="auto" w:fill="1A2A4A"/>
          </w:tcPr>
          <w:p>
            <w:r>
              <w:rPr>
                <w:color w:val="FFFFFF"/>
                <w:b/>
                <w:sz w:val="20"/>
              </w:rPr>
              <w:t xml:space="preserve">Coinsurance</w:t>
            </w:r>
          </w:p>
        </w:tc>
        <w:tc>
          <w:tcPr>
            <w:tcW w:w="3000" w:type="dxa"/>
            <w:shd w:val="clear" w:color="auto" w:fill="1A2A4A"/>
          </w:tcPr>
          <w:p>
            <w:r>
              <w:rPr>
                <w:color w:val="FFFFFF"/>
                <w:b/>
                <w:sz w:val="20"/>
              </w:rPr>
              <w:t xml:space="preserve">Deductible</w:t>
            </w:r>
          </w:p>
        </w:tc>
      </w:tr>
      <w:tr>
        <w:tc>
          <w:tcPr>
            <w:tcW w:w="3000" w:type="dxa"/>
          </w:tcPr>
          <w:p>
            <w:r>
              <w:rPr>
                <w:sz w:val="20"/>
              </w:rPr>
              <w:t xml:space="preserve">Building — Replacement Cost</w:t>
            </w:r>
          </w:p>
        </w:tc>
        <w:tc>
          <w:tcPr>
            <w:tcW w:w="3000" w:type="dxa"/>
          </w:tcPr>
          <w:p>
            <w:r>
              <w:rPr>
                <w:sz w:val="20"/>
              </w:rPr>
              <w:t xml:space="preserve">$420,000</w:t>
            </w:r>
          </w:p>
        </w:tc>
        <w:tc>
          <w:tcPr>
            <w:tcW w:w="3000" w:type="dxa"/>
          </w:tcPr>
          <w:p>
            <w:r>
              <w:rPr>
                <w:sz w:val="20"/>
              </w:rPr>
              <w:t xml:space="preserve">80%</w:t>
            </w:r>
          </w:p>
        </w:tc>
        <w:tc>
          <w:tcPr>
            <w:tcW w:w="3000" w:type="dxa"/>
          </w:tcPr>
          <w:p>
            <w:r>
              <w:rPr>
                <w:sz w:val="20"/>
              </w:rPr>
              <w:t xml:space="preserve">$5,000 AOP</w:t>
            </w:r>
          </w:p>
        </w:tc>
      </w:tr>
      <w:tr>
        <w:tc>
          <w:tcPr>
            <w:tcW w:w="3000" w:type="dxa"/>
          </w:tcPr>
          <w:p>
            <w:r>
              <w:rPr>
                <w:sz w:val="20"/>
              </w:rPr>
              <w:t xml:space="preserve">Business Personal Property — RC</w:t>
            </w:r>
          </w:p>
        </w:tc>
        <w:tc>
          <w:tcPr>
            <w:tcW w:w="3000" w:type="dxa"/>
          </w:tcPr>
          <w:p>
            <w:r>
              <w:rPr>
                <w:sz w:val="20"/>
              </w:rPr>
              <w:t xml:space="preserve">$85,000</w:t>
            </w:r>
          </w:p>
        </w:tc>
        <w:tc>
          <w:tcPr>
            <w:tcW w:w="3000" w:type="dxa"/>
          </w:tcPr>
          <w:p>
            <w:r>
              <w:rPr>
                <w:sz w:val="20"/>
              </w:rPr>
              <w:t xml:space="preserve">80%</w:t>
            </w:r>
          </w:p>
        </w:tc>
        <w:tc>
          <w:tcPr>
            <w:tcW w:w="3000" w:type="dxa"/>
          </w:tcPr>
          <w:p>
            <w:r>
              <w:rPr>
                <w:sz w:val="20"/>
              </w:rPr>
              <w:t xml:space="preserve">$5,000 AOP</w:t>
            </w:r>
          </w:p>
        </w:tc>
      </w:tr>
      <w:tr>
        <w:tc>
          <w:tcPr>
            <w:tcW w:w="3000" w:type="dxa"/>
          </w:tcPr>
          <w:p>
            <w:r>
              <w:rPr>
                <w:sz w:val="20"/>
              </w:rPr>
              <w:t xml:space="preserve">Business Income / ALE</w:t>
            </w:r>
          </w:p>
        </w:tc>
        <w:tc>
          <w:tcPr>
            <w:tcW w:w="3000" w:type="dxa"/>
          </w:tcPr>
          <w:p>
            <w:r>
              <w:rPr>
                <w:sz w:val="20"/>
              </w:rPr>
              <w:t xml:space="preserve">$120,000</w:t>
            </w:r>
          </w:p>
        </w:tc>
        <w:tc>
          <w:tcPr>
            <w:tcW w:w="3000" w:type="dxa"/>
          </w:tcPr>
          <w:p>
            <w:r>
              <w:rPr>
                <w:sz w:val="20"/>
              </w:rPr>
              <w:t xml:space="preserve">N/A</w:t>
            </w:r>
          </w:p>
        </w:tc>
        <w:tc>
          <w:tcPr>
            <w:tcW w:w="3000" w:type="dxa"/>
          </w:tcPr>
          <w:p>
            <w:r>
              <w:rPr>
                <w:sz w:val="20"/>
              </w:rPr>
              <w:t xml:space="preserve">$72-hour waiting period</w:t>
            </w:r>
          </w:p>
        </w:tc>
      </w:tr>
      <w:tr>
        <w:tc>
          <w:tcPr>
            <w:tcW w:w="3000" w:type="dxa"/>
          </w:tcPr>
          <w:p>
            <w:r>
              <w:rPr>
                <w:sz w:val="20"/>
              </w:rPr>
              <w:t xml:space="preserve">Extra Expense</w:t>
            </w:r>
          </w:p>
        </w:tc>
        <w:tc>
          <w:tcPr>
            <w:tcW w:w="3000" w:type="dxa"/>
          </w:tcPr>
          <w:p>
            <w:r>
              <w:rPr>
                <w:sz w:val="20"/>
              </w:rPr>
              <w:t xml:space="preserve">$25,000</w:t>
            </w:r>
          </w:p>
        </w:tc>
        <w:tc>
          <w:tcPr>
            <w:tcW w:w="3000" w:type="dxa"/>
          </w:tcPr>
          <w:p>
            <w:r>
              <w:rPr>
                <w:sz w:val="20"/>
              </w:rPr>
              <w:t xml:space="preserve">N/A</w:t>
            </w:r>
          </w:p>
        </w:tc>
        <w:tc>
          <w:tcPr>
            <w:tcW w:w="3000" w:type="dxa"/>
          </w:tcPr>
          <w:p>
            <w:r>
              <w:rPr>
                <w:sz w:val="20"/>
              </w:rPr>
              <w:t xml:space="preserve">$72-hour waiting period</w:t>
            </w:r>
          </w:p>
        </w:tc>
      </w:tr>
      <w:tr>
        <w:tc>
          <w:tcPr>
            <w:tcW w:w="3000" w:type="dxa"/>
          </w:tcPr>
          <w:p>
            <w:r>
              <w:rPr>
                <w:sz w:val="20"/>
              </w:rPr>
              <w:t xml:space="preserve">Outdoor Signs</w:t>
            </w:r>
          </w:p>
        </w:tc>
        <w:tc>
          <w:tcPr>
            <w:tcW w:w="3000" w:type="dxa"/>
          </w:tcPr>
          <w:p>
            <w:r>
              <w:rPr>
                <w:sz w:val="20"/>
              </w:rPr>
              <w:t xml:space="preserve">$5,000</w:t>
            </w:r>
          </w:p>
        </w:tc>
        <w:tc>
          <w:tcPr>
            <w:tcW w:w="3000" w:type="dxa"/>
          </w:tcPr>
          <w:p>
            <w:r>
              <w:rPr>
                <w:sz w:val="20"/>
              </w:rPr>
              <w:t xml:space="preserve">N/A</w:t>
            </w:r>
          </w:p>
        </w:tc>
        <w:tc>
          <w:tcPr>
            <w:tcW w:w="3000" w:type="dxa"/>
          </w:tcPr>
          <w:p>
            <w:r>
              <w:rPr>
                <w:sz w:val="20"/>
              </w:rPr>
              <w:t xml:space="preserve">$500</w:t>
            </w:r>
          </w:p>
        </w:tc>
      </w:tr>
      <w:tr>
        <w:tc>
          <w:tcPr>
            <w:tcW w:w="3000" w:type="dxa"/>
          </w:tcPr>
          <w:p>
            <w:r>
              <w:rPr>
                <w:sz w:val="20"/>
              </w:rPr>
              <w:t xml:space="preserve">Accounts Receivable</w:t>
            </w:r>
          </w:p>
        </w:tc>
        <w:tc>
          <w:tcPr>
            <w:tcW w:w="3000" w:type="dxa"/>
          </w:tcPr>
          <w:p>
            <w:r>
              <w:rPr>
                <w:sz w:val="20"/>
              </w:rPr>
              <w:t xml:space="preserve">$10,000</w:t>
            </w:r>
          </w:p>
        </w:tc>
        <w:tc>
          <w:tcPr>
            <w:tcW w:w="3000" w:type="dxa"/>
          </w:tcPr>
          <w:p>
            <w:r>
              <w:rPr>
                <w:sz w:val="20"/>
              </w:rPr>
              <w:t xml:space="preserve">N/A</w:t>
            </w:r>
          </w:p>
        </w:tc>
        <w:tc>
          <w:tcPr>
            <w:tcW w:w="3000" w:type="dxa"/>
          </w:tcPr>
          <w:p>
            <w:r>
              <w:rPr>
                <w:sz w:val="20"/>
              </w:rPr>
              <w:t xml:space="preserve">$1,000</w:t>
            </w:r>
          </w:p>
        </w:tc>
      </w:tr>
      <w:tr>
        <w:tc>
          <w:tcPr>
            <w:tcW w:w="3000" w:type="dxa"/>
          </w:tcPr>
          <w:p>
            <w:r>
              <w:rPr>
                <w:sz w:val="20"/>
              </w:rPr>
              <w:t xml:space="preserve">Fine Arts (decorative pieces)</w:t>
            </w:r>
          </w:p>
        </w:tc>
        <w:tc>
          <w:tcPr>
            <w:tcW w:w="3000" w:type="dxa"/>
          </w:tcPr>
          <w:p>
            <w:r>
              <w:rPr>
                <w:sz w:val="20"/>
              </w:rPr>
              <w:t xml:space="preserve">$8,000</w:t>
            </w:r>
          </w:p>
        </w:tc>
        <w:tc>
          <w:tcPr>
            <w:tcW w:w="3000" w:type="dxa"/>
          </w:tcPr>
          <w:p>
            <w:r>
              <w:rPr>
                <w:sz w:val="20"/>
              </w:rPr>
              <w:t xml:space="preserve">N/A</w:t>
            </w:r>
          </w:p>
        </w:tc>
        <w:tc>
          <w:tcPr>
            <w:tcW w:w="3000" w:type="dxa"/>
          </w:tcPr>
          <w:p>
            <w:r>
              <w:rPr>
                <w:sz w:val="20"/>
              </w:rPr>
              <w:t xml:space="preserve">$500</w:t>
            </w:r>
          </w:p>
        </w:tc>
      </w:tr>
      <w:tr>
        <w:tc>
          <w:tcPr>
            <w:tcW w:w="3000" w:type="dxa"/>
          </w:tcPr>
          <w:p>
            <w:r>
              <w:rPr>
                <w:sz w:val="20"/>
              </w:rPr>
              <w:t xml:space="preserve">Employee Dishonesty</w:t>
            </w:r>
          </w:p>
        </w:tc>
        <w:tc>
          <w:tcPr>
            <w:tcW w:w="3000" w:type="dxa"/>
          </w:tcPr>
          <w:p>
            <w:r>
              <w:rPr>
                <w:sz w:val="20"/>
              </w:rPr>
              <w:t xml:space="preserve">$25,000</w:t>
            </w:r>
          </w:p>
        </w:tc>
        <w:tc>
          <w:tcPr>
            <w:tcW w:w="3000" w:type="dxa"/>
          </w:tcPr>
          <w:p>
            <w:r>
              <w:rPr>
                <w:sz w:val="20"/>
              </w:rPr>
              <w:t xml:space="preserve">N/A</w:t>
            </w:r>
          </w:p>
        </w:tc>
        <w:tc>
          <w:tcPr>
            <w:tcW w:w="3000" w:type="dxa"/>
          </w:tcPr>
          <w:p>
            <w:r>
              <w:rPr>
                <w:sz w:val="20"/>
              </w:rPr>
              <w:t xml:space="preserve">$1,000</w:t>
            </w:r>
          </w:p>
        </w:tc>
      </w:tr>
    </w:tbl>
    <w:p/>
    <w:p>
      <w:r>
        <w:rPr>
          <w:sz w:val="20"/>
          <w:color w:val="C0392B"/>
          <w:i/>
        </w:rPr>
        <w:t>⚠  NOTICE: Wind / Hail deductible is 2% of building value ($8,400) per occurrence — separate from AOP deductible.</w:t>
      </w:r>
    </w:p>
    <w:p>
      <w:r>
        <w:rPr>
          <w:sz w:val="20"/>
          <w:color w:val="C0392B"/>
          <w:i/>
        </w:rPr>
        <w:t>⚠  NOTICE: Flood damage is NOT covered under this policy. The insured location at 412 Lexington Avenue falls within FEMA Flood Zone AE (Swannanoa River floodplain, Panel 370168-0037C). A separate NFIP or private flood policy is strongly recommended.</w:t>
      </w:r>
    </w:p>
    <w:p/>
    <w:p>
      <w:r>
        <w:rPr>
          <w:b/>
          <w:sz w:val="24"/>
        </w:rPr>
        <w:t>1.3  Causes of Loss — Special Form</w:t>
      </w:r>
    </w:p>
    <w:p>
      <w:r>
        <w:rPr>
          <w:sz w:val="22"/>
        </w:rPr>
        <w:t xml:space="preserve">This policy covers all risk of direct physical loss or damage to covered property unless specifically excluded. Covered causes include but are not limited to: fire, lightning, explosion, windstorm, hail, smoke, aircraft or vehicle damage, riot, vandalism, sprinkler leakage, sinkhole collapse, and theft.</w:t>
      </w:r>
    </w:p>
    <w:p/>
    <w:p>
      <w:r>
        <w:rPr>
          <w:b/>
          <w:sz w:val="24"/>
        </w:rPr>
        <w:t>1.4  Key Exclusions — Section I</w:t>
      </w:r>
    </w:p>
    <w:p>
      <w:r>
        <w:rPr>
          <w:sz w:val="22"/>
        </w:rPr>
        <w:t xml:space="preserve">The following are NOT covered under this policy:</w:t>
      </w:r>
    </w:p>
    <w:p>
      <w:r>
        <w:rPr>
          <w:sz w:val="22"/>
        </w:rPr>
        <w:t xml:space="preserve">(a)  FLOOD — Including surface water, overflow of any body of water, mudslide, or water-borne material. See NOTICE in §1.2.</w:t>
      </w:r>
    </w:p>
    <w:p/>
    <w:p>
      <w:r>
        <w:rPr>
          <w:sz w:val="22"/>
        </w:rPr>
        <w:t xml:space="preserve">(b)  EARTHQUAKE — Ground movement, tremor, or earth sinking.</w:t>
      </w:r>
    </w:p>
    <w:p/>
    <w:p>
      <w:r>
        <w:rPr>
          <w:sz w:val="22"/>
        </w:rPr>
        <w:t xml:space="preserve">(c)  ORDINANCE OR LAW — Costs to demolish or rebuild undamaged portions of a structure to comply with current building codes are excluded unless Ordinance or Law Coverage endorsement is added (not currently attached).</w:t>
      </w:r>
    </w:p>
    <w:p/>
    <w:p>
      <w:r>
        <w:rPr>
          <w:sz w:val="22"/>
        </w:rPr>
        <w:t xml:space="preserve">(d)  MECHANICAL BREAKDOWN — Failure, derangement, or breakdown of mechanical or electrical equipment is excluded unless Section IV (Equipment Breakdown) applies.</w:t>
      </w:r>
    </w:p>
    <w:p/>
    <w:p>
      <w:r>
        <w:rPr>
          <w:sz w:val="22"/>
        </w:rPr>
        <w:t xml:space="preserve">(e)  MOLD — Mold, fungi, or wet rot unless caused by a specified cause of loss within 72 hours of the covered loss.</w:t>
      </w:r>
    </w:p>
    <w:p/>
    <w:p>
      <w:r>
        <w:rPr>
          <w:sz w:val="22"/>
        </w:rPr>
        <w:t xml:space="preserve">(f)  EMPLOYEE THEFT BY PARTNERS OR OFFICERS — Misappropriation by owners or officers is excluded.</w:t>
      </w:r>
    </w:p>
    <w:p/>
    <w:p>
      <w:r>
        <w:rPr>
          <w:sz w:val="22"/>
        </w:rPr>
        <w:t xml:space="preserve">(g)  OUTDOOR PROPERTY — Fences, retaining walls, and outdoor furniture beyond the $5,000 outdoor sign limit are excluded.</w:t>
      </w:r>
    </w:p>
    <w:p/>
    <w:p>
      <w:r>
        <w:rPr>
          <w:b/>
          <w:sz w:val="24"/>
        </w:rPr>
        <w:t>1.5  Business Income &amp; Extra Expense — §1.5</w:t>
      </w:r>
    </w:p>
    <w:p>
      <w:r>
        <w:rPr>
          <w:sz w:val="22"/>
        </w:rPr>
        <w:t xml:space="preserve">Business Income coverage provides reimbursement for actual loss of net income plus continuing normal operating expenses (including payroll) during the period of restoration following a covered physical loss.</w:t>
      </w:r>
    </w:p>
    <w:p/>
    <w:p>
      <w:r>
        <w:rPr>
          <w:sz w:val="22"/>
        </w:rPr>
        <w:t xml:space="preserve">Period of Restoration: Begins 72 hours after the physical loss and ends on the earlier of:</w:t>
      </w:r>
    </w:p>
    <w:p>
      <w:r>
        <w:rPr>
          <w:sz w:val="22"/>
        </w:rPr>
        <w:t xml:space="preserve">  (i)  The date the property is repaired or replaced; or</w:t>
      </w:r>
    </w:p>
    <w:p>
      <w:r>
        <w:rPr>
          <w:sz w:val="22"/>
        </w:rPr>
        <w:t xml:space="preserve">  (ii) The date the business resumes operations at the covered location or a new permanent location.</w:t>
      </w:r>
    </w:p>
    <w:p/>
    <w:p>
      <w:r>
        <w:rPr>
          <w:sz w:val="22"/>
        </w:rPr>
        <w:t xml:space="preserve">Maximum Period: 12 months.</w:t>
      </w:r>
    </w:p>
    <w:p/>
    <w:p>
      <w:r>
        <w:rPr>
          <w:sz w:val="22"/>
        </w:rPr>
        <w:t xml:space="preserve">Business Income Limit: $120,000 (12-month aggregate).</w:t>
      </w:r>
    </w:p>
    <w:p/>
    <w:p>
      <w:r>
        <w:rPr>
          <w:sz w:val="22"/>
        </w:rPr>
        <w:t xml:space="preserve">IMPORTANT — Monthly Cap: $10,000 per month average implied by the $120,000 limit. If the insured's actual monthly net income plus payroll obligations exceed $10,000, the insured may be underinsured for extended closures.</w:t>
      </w:r>
    </w:p>
    <w:p>
      <w:r>
        <w:rPr>
          <w:sz w:val="20"/>
          <w:color w:val="C0392B"/>
          <w:i/>
        </w:rPr>
        <w:t>⚠  NOTICE: At the insured's reported annual gross revenue of $1,400,000 (provided on application), net income plus payroll obligations are estimated at approximately $14,500/month. The current 12-month limit of $120,000 ($10,000/month average) covers only approximately 68% of the projected monthly exposure.</w:t>
      </w:r>
    </w:p>
    <w:p/>
    <w:p>
      <w:r>
        <w:rPr>
          <w:b/>
          <w:sz w:val="24"/>
        </w:rPr>
        <w:t>1.6  Replacement Cost Conditions — §4.2</w:t>
      </w:r>
    </w:p>
    <w:p>
      <w:r>
        <w:rPr>
          <w:sz w:val="22"/>
        </w:rPr>
        <w:t xml:space="preserve">Coverage is provided on a Replacement Cost (RC) basis for both building and business personal property, subject to the following:</w:t>
      </w:r>
    </w:p>
    <w:p/>
    <w:p>
      <w:r>
        <w:rPr>
          <w:sz w:val="22"/>
        </w:rPr>
        <w:t xml:space="preserve">§4.2(a) — RC basis applies only when the property is actually repaired or replaced within 2 years of the loss date. Initial payment is made at Actual Cash Value (ACV); the depreciation holdback is released upon completion of repairs.</w:t>
      </w:r>
    </w:p>
    <w:p/>
    <w:p>
      <w:r>
        <w:rPr>
          <w:sz w:val="22"/>
        </w:rPr>
        <w:t xml:space="preserve">§4.2(b) — Commercial cooking equipment including hood systems, ventilation, and fire suppression systems is covered at full RC without depreciation, provided the equipment was operational at the time of loss and is replaced with like kind and quality.</w:t>
      </w:r>
    </w:p>
    <w:p/>
    <w:p>
      <w:r>
        <w:rPr>
          <w:sz w:val="22"/>
        </w:rPr>
        <w:t xml:space="preserve">§4.2(c) — Refrigeration equipment (walk-in coolers, reach-ins, blast chillers) is covered at RC. Age-depreciated ACV does NOT apply.</w:t>
      </w:r>
    </w:p>
    <w:p/>
    <w:p>
      <w:r>
        <w:rPr>
          <w:sz w:val="22"/>
        </w:rPr>
        <w:t xml:space="preserve">§4.2(d) — Tenant improvements and betterments made by the insured to a leased premises are covered at RC (not ACV) if the insured is contractually obligated to restore them under the lease.</w:t>
      </w:r>
    </w:p>
    <w:p/>
    <w:p>
      <w:r>
        <w:rPr>
          <w:sz w:val="20"/>
          <w:color w:val="C0392B"/>
          <w:i/>
        </w:rPr>
        <w:t>⚠  ADJUSTER NOTICE: Any offer calculated using ACV for commercial cooking or refrigeration equipment (§4.2b/c) would be a policy breach and grounds for reconsideration.</w:t>
      </w:r>
    </w:p>
    <w:p/>
    <w:p>
      <w:pPr>
        <w:pBdr>
          <w:bottom w:val="single" w:sz="6" w:space="4" w:color="1A2A4A"/>
        </w:pBdr>
      </w:pPr>
      <w:r>
        <w:rPr>
          <w:b/>
          <w:sz w:val="28"/>
          <w:color w:val="1A2A4A"/>
        </w:rPr>
        <w:t>SECTION II — COMMERCIAL GENERAL LIABILITY</w:t>
      </w:r>
    </w:p>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tcW w:w="3000" w:type="dxa"/>
            <w:shd w:val="clear" w:color="auto" w:fill="1A2A4A"/>
          </w:tcPr>
          <w:p>
            <w:r>
              <w:rPr>
                <w:color w:val="FFFFFF"/>
                <w:b/>
                <w:sz w:val="20"/>
              </w:rPr>
              <w:t xml:space="preserve">Limit Type</w:t>
            </w:r>
          </w:p>
        </w:tc>
        <w:tc>
          <w:tcPr>
            <w:tcW w:w="3000" w:type="dxa"/>
            <w:shd w:val="clear" w:color="auto" w:fill="1A2A4A"/>
          </w:tcPr>
          <w:p>
            <w:r>
              <w:rPr>
                <w:color w:val="FFFFFF"/>
                <w:b/>
                <w:sz w:val="20"/>
              </w:rPr>
              <w:t xml:space="preserve">Amount</w:t>
            </w:r>
          </w:p>
        </w:tc>
      </w:tr>
      <w:tr>
        <w:tc>
          <w:tcPr>
            <w:tcW w:w="3000" w:type="dxa"/>
          </w:tcPr>
          <w:p>
            <w:r>
              <w:rPr>
                <w:sz w:val="20"/>
              </w:rPr>
              <w:t xml:space="preserve">Each Occurrence</w:t>
            </w:r>
          </w:p>
        </w:tc>
        <w:tc>
          <w:tcPr>
            <w:tcW w:w="3000" w:type="dxa"/>
          </w:tcPr>
          <w:p>
            <w:r>
              <w:rPr>
                <w:sz w:val="20"/>
              </w:rPr>
              <w:t xml:space="preserve">$1,000,000</w:t>
            </w:r>
          </w:p>
        </w:tc>
      </w:tr>
      <w:tr>
        <w:tc>
          <w:tcPr>
            <w:tcW w:w="3000" w:type="dxa"/>
          </w:tcPr>
          <w:p>
            <w:r>
              <w:rPr>
                <w:sz w:val="20"/>
              </w:rPr>
              <w:t xml:space="preserve">General Aggregate (per policy period)</w:t>
            </w:r>
          </w:p>
        </w:tc>
        <w:tc>
          <w:tcPr>
            <w:tcW w:w="3000" w:type="dxa"/>
          </w:tcPr>
          <w:p>
            <w:r>
              <w:rPr>
                <w:sz w:val="20"/>
              </w:rPr>
              <w:t xml:space="preserve">$2,000,000</w:t>
            </w:r>
          </w:p>
        </w:tc>
      </w:tr>
      <w:tr>
        <w:tc>
          <w:tcPr>
            <w:tcW w:w="3000" w:type="dxa"/>
          </w:tcPr>
          <w:p>
            <w:r>
              <w:rPr>
                <w:sz w:val="20"/>
              </w:rPr>
              <w:t xml:space="preserve">Products / Completed Operations Aggregate</w:t>
            </w:r>
          </w:p>
        </w:tc>
        <w:tc>
          <w:tcPr>
            <w:tcW w:w="3000" w:type="dxa"/>
          </w:tcPr>
          <w:p>
            <w:r>
              <w:rPr>
                <w:sz w:val="20"/>
              </w:rPr>
              <w:t xml:space="preserve">$1,000,000</w:t>
            </w:r>
          </w:p>
        </w:tc>
      </w:tr>
      <w:tr>
        <w:tc>
          <w:tcPr>
            <w:tcW w:w="3000" w:type="dxa"/>
          </w:tcPr>
          <w:p>
            <w:r>
              <w:rPr>
                <w:sz w:val="20"/>
              </w:rPr>
              <w:t xml:space="preserve">Personal &amp; Advertising Injury</w:t>
            </w:r>
          </w:p>
        </w:tc>
        <w:tc>
          <w:tcPr>
            <w:tcW w:w="3000" w:type="dxa"/>
          </w:tcPr>
          <w:p>
            <w:r>
              <w:rPr>
                <w:sz w:val="20"/>
              </w:rPr>
              <w:t xml:space="preserve">$1,000,000</w:t>
            </w:r>
          </w:p>
        </w:tc>
      </w:tr>
      <w:tr>
        <w:tc>
          <w:tcPr>
            <w:tcW w:w="3000" w:type="dxa"/>
          </w:tcPr>
          <w:p>
            <w:r>
              <w:rPr>
                <w:sz w:val="20"/>
              </w:rPr>
              <w:t xml:space="preserve">Medical Payments (any one person)</w:t>
            </w:r>
          </w:p>
        </w:tc>
        <w:tc>
          <w:tcPr>
            <w:tcW w:w="3000" w:type="dxa"/>
          </w:tcPr>
          <w:p>
            <w:r>
              <w:rPr>
                <w:sz w:val="20"/>
              </w:rPr>
              <w:t xml:space="preserve">$5,000</w:t>
            </w:r>
          </w:p>
        </w:tc>
      </w:tr>
      <w:tr>
        <w:tc>
          <w:tcPr>
            <w:tcW w:w="3000" w:type="dxa"/>
          </w:tcPr>
          <w:p>
            <w:r>
              <w:rPr>
                <w:sz w:val="20"/>
              </w:rPr>
              <w:t xml:space="preserve">Damage to Rented Premises (fire)</w:t>
            </w:r>
          </w:p>
        </w:tc>
        <w:tc>
          <w:tcPr>
            <w:tcW w:w="3000" w:type="dxa"/>
          </w:tcPr>
          <w:p>
            <w:r>
              <w:rPr>
                <w:sz w:val="20"/>
              </w:rPr>
              <w:t xml:space="preserve">$100,000</w:t>
            </w:r>
          </w:p>
        </w:tc>
      </w:tr>
    </w:tbl>
    <w:p/>
    <w:p>
      <w:r>
        <w:rPr>
          <w:sz w:val="22"/>
        </w:rPr>
        <w:t xml:space="preserve">Retroactive Date: None (occurrence-based policy).</w:t>
      </w:r>
    </w:p>
    <w:p>
      <w:r>
        <w:rPr>
          <w:sz w:val="22"/>
        </w:rPr>
        <w:t xml:space="preserve">Coverage Territory: United States of America, Puerto Rico, and Canada.</w:t>
      </w:r>
    </w:p>
    <w:p/>
    <w:p>
      <w:r>
        <w:rPr>
          <w:b/>
          <w:sz w:val="24"/>
        </w:rPr>
        <w:t>2.1  Additional Insureds</w:t>
      </w:r>
    </w:p>
    <w:p>
      <w:r>
        <w:rPr>
          <w:sz w:val="22"/>
        </w:rPr>
        <w:t xml:space="preserve">The following are added as Additional Insureds — Owners, Lessees, or Contractors per form CG 20 10:</w:t>
      </w:r>
    </w:p>
    <w:p>
      <w:r>
        <w:rPr>
          <w:sz w:val="22"/>
        </w:rPr>
        <w:t xml:space="preserve">  • Lexington Properties LLC (landlord) — 412 Lexington Ave, Asheville NC 28801</w:t>
      </w:r>
    </w:p>
    <w:p>
      <w:r>
        <w:rPr>
          <w:sz w:val="22"/>
        </w:rPr>
        <w:t xml:space="preserve">  • City of Asheville — outdoor patio permit holder</w:t>
      </w:r>
    </w:p>
    <w:p/>
    <w:p>
      <w:r>
        <w:rPr>
          <w:b/>
          <w:sz w:val="24"/>
        </w:rPr>
        <w:t>2.2  Key Liability Exclusions</w:t>
      </w:r>
    </w:p>
    <w:p>
      <w:r>
        <w:rPr>
          <w:sz w:val="22"/>
        </w:rPr>
        <w:t xml:space="preserve">(a)  Liquor Liability — Host liquor liability for the on-premises bar is covered under this policy. However, the sale or service of alcohol to visibly intoxicated persons is excluded.</w:t>
      </w:r>
    </w:p>
    <w:p/>
    <w:p>
      <w:r>
        <w:rPr>
          <w:sz w:val="22"/>
        </w:rPr>
        <w:t xml:space="preserve">(b)  Assault &amp; Battery — Physical altercations on premises are excluded.</w:t>
      </w:r>
    </w:p>
    <w:p/>
    <w:p>
      <w:r>
        <w:rPr>
          <w:sz w:val="22"/>
        </w:rPr>
        <w:t xml:space="preserve">(c)  Pollution — Grease-trap overflow, refrigerant release, or chemical spill exclusions apply unless sudden and accidental.</w:t>
      </w:r>
    </w:p>
    <w:p/>
    <w:p>
      <w:pPr>
        <w:pBdr>
          <w:bottom w:val="single" w:sz="6" w:space="4" w:color="1A2A4A"/>
        </w:pBdr>
      </w:pPr>
      <w:r>
        <w:rPr>
          <w:b/>
          <w:sz w:val="28"/>
          <w:color w:val="1A2A4A"/>
        </w:rPr>
        <w:t>SECTION III — EQUIPMENT BREAKDOWN</w:t>
      </w:r>
    </w:p>
    <w:p/>
    <w:p>
      <w:r>
        <w:rPr>
          <w:sz w:val="22"/>
        </w:rPr>
        <w:t xml:space="preserve">Covers the sudden and accidental breakdown of covered equipment, including:</w:t>
      </w:r>
    </w:p>
    <w:p/>
    <w:p>
      <w:r>
        <w:rPr>
          <w:sz w:val="22"/>
        </w:rPr>
        <w:t xml:space="preserve">• Commercial cooking equipment: Range, grill, fryer, salamander, convection ovens (2)</w:t>
      </w:r>
    </w:p>
    <w:p>
      <w:r>
        <w:rPr>
          <w:sz w:val="22"/>
        </w:rPr>
        <w:t xml:space="preserve">• Refrigeration: Walk-in cooler (180 cu ft), walk-in freezer (80 cu ft), 4 x reach-in units</w:t>
      </w:r>
    </w:p>
    <w:p>
      <w:r>
        <w:rPr>
          <w:sz w:val="22"/>
        </w:rPr>
        <w:t xml:space="preserve">• HVAC: 3 rooftop units (5-ton, 5-ton, 3-ton)</w:t>
      </w:r>
    </w:p>
    <w:p>
      <w:r>
        <w:rPr>
          <w:sz w:val="22"/>
        </w:rPr>
        <w:t xml:space="preserve">• Electrical panels and main service equipment</w:t>
      </w:r>
    </w:p>
    <w:p>
      <w:r>
        <w:rPr>
          <w:sz w:val="22"/>
        </w:rPr>
        <w:t xml:space="preserve">• POS system server and kitchen display systems</w:t>
      </w:r>
    </w:p>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tcW w:w="3000" w:type="dxa"/>
            <w:shd w:val="clear" w:color="auto" w:fill="1A2A4A"/>
          </w:tcPr>
          <w:p>
            <w:r>
              <w:rPr>
                <w:color w:val="FFFFFF"/>
                <w:b/>
                <w:sz w:val="20"/>
              </w:rPr>
              <w:t xml:space="preserve">Limit</w:t>
            </w:r>
          </w:p>
        </w:tc>
        <w:tc>
          <w:tcPr>
            <w:tcW w:w="3000" w:type="dxa"/>
            <w:shd w:val="clear" w:color="auto" w:fill="1A2A4A"/>
          </w:tcPr>
          <w:p>
            <w:r>
              <w:rPr>
                <w:color w:val="FFFFFF"/>
                <w:b/>
                <w:sz w:val="20"/>
              </w:rPr>
              <w:t xml:space="preserve">Amount</w:t>
            </w:r>
          </w:p>
        </w:tc>
      </w:tr>
      <w:tr>
        <w:tc>
          <w:tcPr>
            <w:tcW w:w="3000" w:type="dxa"/>
          </w:tcPr>
          <w:p>
            <w:r>
              <w:rPr>
                <w:sz w:val="20"/>
              </w:rPr>
              <w:t xml:space="preserve">Equipment Breakdown — Per Occurrence</w:t>
            </w:r>
          </w:p>
        </w:tc>
        <w:tc>
          <w:tcPr>
            <w:tcW w:w="3000" w:type="dxa"/>
          </w:tcPr>
          <w:p>
            <w:r>
              <w:rPr>
                <w:sz w:val="20"/>
              </w:rPr>
              <w:t xml:space="preserve">$150,000</w:t>
            </w:r>
          </w:p>
        </w:tc>
      </w:tr>
      <w:tr>
        <w:tc>
          <w:tcPr>
            <w:tcW w:w="3000" w:type="dxa"/>
          </w:tcPr>
          <w:p>
            <w:r>
              <w:rPr>
                <w:sz w:val="20"/>
              </w:rPr>
              <w:t xml:space="preserve">Spoilage (food &amp; beverage)</w:t>
            </w:r>
          </w:p>
        </w:tc>
        <w:tc>
          <w:tcPr>
            <w:tcW w:w="3000" w:type="dxa"/>
          </w:tcPr>
          <w:p>
            <w:r>
              <w:rPr>
                <w:sz w:val="20"/>
              </w:rPr>
              <w:t xml:space="preserve">$25,000</w:t>
            </w:r>
          </w:p>
        </w:tc>
      </w:tr>
      <w:tr>
        <w:tc>
          <w:tcPr>
            <w:tcW w:w="3000" w:type="dxa"/>
          </w:tcPr>
          <w:p>
            <w:r>
              <w:rPr>
                <w:sz w:val="20"/>
              </w:rPr>
              <w:t xml:space="preserve">Expediting Expenses</w:t>
            </w:r>
          </w:p>
        </w:tc>
        <w:tc>
          <w:tcPr>
            <w:tcW w:w="3000" w:type="dxa"/>
          </w:tcPr>
          <w:p>
            <w:r>
              <w:rPr>
                <w:sz w:val="20"/>
              </w:rPr>
              <w:t xml:space="preserve">$10,000</w:t>
            </w:r>
          </w:p>
        </w:tc>
      </w:tr>
      <w:tr>
        <w:tc>
          <w:tcPr>
            <w:tcW w:w="3000" w:type="dxa"/>
          </w:tcPr>
          <w:p>
            <w:r>
              <w:rPr>
                <w:sz w:val="20"/>
              </w:rPr>
              <w:t xml:space="preserve">Deductible — All Equipment</w:t>
            </w:r>
          </w:p>
        </w:tc>
        <w:tc>
          <w:tcPr>
            <w:tcW w:w="3000" w:type="dxa"/>
          </w:tcPr>
          <w:p>
            <w:r>
              <w:rPr>
                <w:sz w:val="20"/>
              </w:rPr>
              <w:t xml:space="preserve">$500</w:t>
            </w:r>
          </w:p>
        </w:tc>
      </w:tr>
    </w:tbl>
    <w:p/>
    <w:p>
      <w:r>
        <w:rPr>
          <w:sz w:val="22"/>
        </w:rPr>
        <w:t xml:space="preserve">§3.1 — Perishable Goods: Loss of perishable stock due to equipment breakdown or power outage (resulting from equipment breakdown) is covered up to $25,000 per occurrence. Power outage caused by external grid failure (utility company) is NOT covered.</w:t>
      </w:r>
    </w:p>
    <w:p/>
    <w:p>
      <w:pPr>
        <w:pBdr>
          <w:bottom w:val="single" w:sz="6" w:space="4" w:color="1A2A4A"/>
        </w:pBdr>
      </w:pPr>
      <w:r>
        <w:rPr>
          <w:b/>
          <w:sz w:val="28"/>
          <w:color w:val="1A2A4A"/>
        </w:rPr>
        <w:t>SECTION IV — INLAND MARINE (Wine &amp; Spirits Floater)</w:t>
      </w:r>
    </w:p>
    <w:p/>
    <w:p>
      <w:r>
        <w:rPr>
          <w:sz w:val="22"/>
        </w:rPr>
        <w:t xml:space="preserve">Coverage for wine, spirits, and specialty beverages held for sale, including those stored off-premises in a bonded warehouse:</w:t>
      </w:r>
    </w:p>
    <w:p/>
    <w:p>
      <w:r>
        <w:rPr>
          <w:sz w:val="22"/>
        </w:rPr>
        <w:t xml:space="preserve">Limit: $15,000 per occurrence</w:t>
      </w:r>
    </w:p>
    <w:p>
      <w:r>
        <w:rPr>
          <w:sz w:val="22"/>
        </w:rPr>
        <w:t xml:space="preserve">Deductible: $250</w:t>
      </w:r>
    </w:p>
    <w:p>
      <w:r>
        <w:rPr>
          <w:sz w:val="22"/>
        </w:rPr>
        <w:t xml:space="preserve">Valuation: Retail replacement cost</w:t>
      </w:r>
    </w:p>
    <w:p>
      <w:r>
        <w:rPr>
          <w:sz w:val="22"/>
        </w:rPr>
        <w:t xml:space="preserve">Covered Causes: All-risk including theft, breakage, temperature damage</w:t>
      </w:r>
    </w:p>
    <w:p/>
    <w:p>
      <w:pPr>
        <w:pBdr>
          <w:bottom w:val="single" w:sz="6" w:space="4" w:color="1A2A4A"/>
        </w:pBdr>
      </w:pPr>
      <w:r>
        <w:rPr>
          <w:b/>
          <w:sz w:val="28"/>
          <w:color w:val="1A2A4A"/>
        </w:rPr>
        <w:t>SECTION V — ENDORSEMENTS ATTACHED</w:t>
      </w:r>
    </w:p>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tcW w:w="3000" w:type="dxa"/>
            <w:shd w:val="clear" w:color="auto" w:fill="1A2A4A"/>
          </w:tcPr>
          <w:p>
            <w:r>
              <w:rPr>
                <w:color w:val="FFFFFF"/>
                <w:b/>
                <w:sz w:val="20"/>
              </w:rPr>
              <w:t xml:space="preserve">Form Number</w:t>
            </w:r>
          </w:p>
        </w:tc>
        <w:tc>
          <w:tcPr>
            <w:tcW w:w="3000" w:type="dxa"/>
            <w:shd w:val="clear" w:color="auto" w:fill="1A2A4A"/>
          </w:tcPr>
          <w:p>
            <w:r>
              <w:rPr>
                <w:color w:val="FFFFFF"/>
                <w:b/>
                <w:sz w:val="20"/>
              </w:rPr>
              <w:t xml:space="preserve">Endorsement Name</w:t>
            </w:r>
          </w:p>
        </w:tc>
        <w:tc>
          <w:tcPr>
            <w:tcW w:w="3000" w:type="dxa"/>
            <w:shd w:val="clear" w:color="auto" w:fill="1A2A4A"/>
          </w:tcPr>
          <w:p>
            <w:r>
              <w:rPr>
                <w:color w:val="FFFFFF"/>
                <w:b/>
                <w:sz w:val="20"/>
              </w:rPr>
              <w:t xml:space="preserve">Premium Change</w:t>
            </w:r>
          </w:p>
        </w:tc>
      </w:tr>
      <w:tr>
        <w:tc>
          <w:tcPr>
            <w:tcW w:w="3000" w:type="dxa"/>
          </w:tcPr>
          <w:p>
            <w:r>
              <w:rPr>
                <w:sz w:val="20"/>
              </w:rPr>
              <w:t xml:space="preserve">CP 10 30 10 12</w:t>
            </w:r>
          </w:p>
        </w:tc>
        <w:tc>
          <w:tcPr>
            <w:tcW w:w="3000" w:type="dxa"/>
          </w:tcPr>
          <w:p>
            <w:r>
              <w:rPr>
                <w:sz w:val="20"/>
              </w:rPr>
              <w:t xml:space="preserve">Causes of Loss — Special Form</w:t>
            </w:r>
          </w:p>
        </w:tc>
        <w:tc>
          <w:tcPr>
            <w:tcW w:w="3000" w:type="dxa"/>
          </w:tcPr>
          <w:p>
            <w:r>
              <w:rPr>
                <w:sz w:val="20"/>
              </w:rPr>
              <w:t xml:space="preserve">Included</w:t>
            </w:r>
          </w:p>
        </w:tc>
      </w:tr>
      <w:tr>
        <w:tc>
          <w:tcPr>
            <w:tcW w:w="3000" w:type="dxa"/>
          </w:tcPr>
          <w:p>
            <w:r>
              <w:rPr>
                <w:sz w:val="20"/>
              </w:rPr>
              <w:t xml:space="preserve">CP 00 90 07 88</w:t>
            </w:r>
          </w:p>
        </w:tc>
        <w:tc>
          <w:tcPr>
            <w:tcW w:w="3000" w:type="dxa"/>
          </w:tcPr>
          <w:p>
            <w:r>
              <w:rPr>
                <w:sz w:val="20"/>
              </w:rPr>
              <w:t xml:space="preserve">Commercial Property Conditions</w:t>
            </w:r>
          </w:p>
        </w:tc>
        <w:tc>
          <w:tcPr>
            <w:tcW w:w="3000" w:type="dxa"/>
          </w:tcPr>
          <w:p>
            <w:r>
              <w:rPr>
                <w:sz w:val="20"/>
              </w:rPr>
              <w:t xml:space="preserve">Included</w:t>
            </w:r>
          </w:p>
        </w:tc>
      </w:tr>
      <w:tr>
        <w:tc>
          <w:tcPr>
            <w:tcW w:w="3000" w:type="dxa"/>
          </w:tcPr>
          <w:p>
            <w:r>
              <w:rPr>
                <w:sz w:val="20"/>
              </w:rPr>
              <w:t xml:space="preserve">CG 20 10 04 13</w:t>
            </w:r>
          </w:p>
        </w:tc>
        <w:tc>
          <w:tcPr>
            <w:tcW w:w="3000" w:type="dxa"/>
          </w:tcPr>
          <w:p>
            <w:r>
              <w:rPr>
                <w:sz w:val="20"/>
              </w:rPr>
              <w:t xml:space="preserve">Additional Insured — Owners, Lessees</w:t>
            </w:r>
          </w:p>
        </w:tc>
        <w:tc>
          <w:tcPr>
            <w:tcW w:w="3000" w:type="dxa"/>
          </w:tcPr>
          <w:p>
            <w:r>
              <w:rPr>
                <w:sz w:val="20"/>
              </w:rPr>
              <w:t xml:space="preserve">Included</w:t>
            </w:r>
          </w:p>
        </w:tc>
      </w:tr>
      <w:tr>
        <w:tc>
          <w:tcPr>
            <w:tcW w:w="3000" w:type="dxa"/>
          </w:tcPr>
          <w:p>
            <w:r>
              <w:rPr>
                <w:sz w:val="20"/>
              </w:rPr>
              <w:t xml:space="preserve">CG 21 47 12 07</w:t>
            </w:r>
          </w:p>
        </w:tc>
        <w:tc>
          <w:tcPr>
            <w:tcW w:w="3000" w:type="dxa"/>
          </w:tcPr>
          <w:p>
            <w:r>
              <w:rPr>
                <w:sz w:val="20"/>
              </w:rPr>
              <w:t xml:space="preserve">Employment-Related Practices Exclusion</w:t>
            </w:r>
          </w:p>
        </w:tc>
        <w:tc>
          <w:tcPr>
            <w:tcW w:w="3000" w:type="dxa"/>
          </w:tcPr>
          <w:p>
            <w:r>
              <w:rPr>
                <w:sz w:val="20"/>
              </w:rPr>
              <w:t xml:space="preserve">Included</w:t>
            </w:r>
          </w:p>
        </w:tc>
      </w:tr>
      <w:tr>
        <w:tc>
          <w:tcPr>
            <w:tcW w:w="3000" w:type="dxa"/>
          </w:tcPr>
          <w:p>
            <w:r>
              <w:rPr>
                <w:sz w:val="20"/>
              </w:rPr>
              <w:t xml:space="preserve">IL 09 35 07 02</w:t>
            </w:r>
          </w:p>
        </w:tc>
        <w:tc>
          <w:tcPr>
            <w:tcW w:w="3000" w:type="dxa"/>
          </w:tcPr>
          <w:p>
            <w:r>
              <w:rPr>
                <w:sz w:val="20"/>
              </w:rPr>
              <w:t xml:space="preserve">Exclusion of Certified Acts of Terrorism</w:t>
            </w:r>
          </w:p>
        </w:tc>
        <w:tc>
          <w:tcPr>
            <w:tcW w:w="3000" w:type="dxa"/>
          </w:tcPr>
          <w:p>
            <w:r>
              <w:rPr>
                <w:sz w:val="20"/>
              </w:rPr>
              <w:t xml:space="preserve">Included</w:t>
            </w:r>
          </w:p>
        </w:tc>
      </w:tr>
      <w:tr>
        <w:tc>
          <w:tcPr>
            <w:tcW w:w="3000" w:type="dxa"/>
          </w:tcPr>
          <w:p>
            <w:r>
              <w:rPr>
                <w:sz w:val="20"/>
              </w:rPr>
              <w:t xml:space="preserve">CP 04 17 06 07</w:t>
            </w:r>
          </w:p>
        </w:tc>
        <w:tc>
          <w:tcPr>
            <w:tcW w:w="3000" w:type="dxa"/>
          </w:tcPr>
          <w:p>
            <w:r>
              <w:rPr>
                <w:sz w:val="20"/>
              </w:rPr>
              <w:t xml:space="preserve">Outdoor Trees, Shrubs, Plants</w:t>
            </w:r>
          </w:p>
        </w:tc>
        <w:tc>
          <w:tcPr>
            <w:tcW w:w="3000" w:type="dxa"/>
          </w:tcPr>
          <w:p>
            <w:r>
              <w:rPr>
                <w:sz w:val="20"/>
              </w:rPr>
              <w:t xml:space="preserve">Not Attached</w:t>
            </w:r>
          </w:p>
        </w:tc>
      </w:tr>
      <w:tr>
        <w:tc>
          <w:tcPr>
            <w:tcW w:w="3000" w:type="dxa"/>
          </w:tcPr>
          <w:p>
            <w:r>
              <w:rPr>
                <w:sz w:val="20"/>
              </w:rPr>
              <w:t xml:space="preserve">CP 04 05 10 12</w:t>
            </w:r>
          </w:p>
        </w:tc>
        <w:tc>
          <w:tcPr>
            <w:tcW w:w="3000" w:type="dxa"/>
          </w:tcPr>
          <w:p>
            <w:r>
              <w:rPr>
                <w:sz w:val="20"/>
              </w:rPr>
              <w:t xml:space="preserve">Ordinance or Law Coverage</w:t>
            </w:r>
          </w:p>
        </w:tc>
        <w:tc>
          <w:tcPr>
            <w:tcW w:w="3000" w:type="dxa"/>
          </w:tcPr>
          <w:p>
            <w:r>
              <w:rPr>
                <w:sz w:val="20"/>
              </w:rPr>
              <w:t xml:space="preserve">Not Attached</w:t>
            </w:r>
          </w:p>
        </w:tc>
      </w:tr>
      <w:tr>
        <w:tc>
          <w:tcPr>
            <w:tcW w:w="3000" w:type="dxa"/>
          </w:tcPr>
          <w:p>
            <w:r>
              <w:rPr>
                <w:sz w:val="20"/>
              </w:rPr>
              <w:t xml:space="preserve">CP 10 65 09 17</w:t>
            </w:r>
          </w:p>
        </w:tc>
        <w:tc>
          <w:tcPr>
            <w:tcW w:w="3000" w:type="dxa"/>
          </w:tcPr>
          <w:p>
            <w:r>
              <w:rPr>
                <w:sz w:val="20"/>
              </w:rPr>
              <w:t xml:space="preserve">Earthquake — Not Purchased</w:t>
            </w:r>
          </w:p>
        </w:tc>
        <w:tc>
          <w:tcPr>
            <w:tcW w:w="3000" w:type="dxa"/>
          </w:tcPr>
          <w:p>
            <w:r>
              <w:rPr>
                <w:sz w:val="20"/>
              </w:rPr>
              <w:t xml:space="preserve">Not Attached</w:t>
            </w:r>
          </w:p>
        </w:tc>
      </w:tr>
    </w:tbl>
    <w:p/>
    <w:p>
      <w:r>
        <w:rPr>
          <w:sz w:val="20"/>
          <w:color w:val="C0392B"/>
          <w:i/>
        </w:rPr>
        <w:t>⚠  Ordinance or Law Coverage (CP 04 05) is NOT attached. Asheville adopted updated commercial kitchen ventilation codes in 2022. In the event of a covered loss requiring rebuilding, code-required upgrades to hood systems and fire suppression may be out-of-pocket.</w:t>
      </w:r>
    </w:p>
    <w:p/>
    <w:p>
      <w:pPr>
        <w:pBdr>
          <w:bottom w:val="single" w:sz="6" w:space="4" w:color="1A2A4A"/>
        </w:pBdr>
      </w:pPr>
      <w:r>
        <w:rPr>
          <w:b/>
          <w:sz w:val="28"/>
          <w:color w:val="1A2A4A"/>
        </w:rPr>
        <w:t>SECTION VI — POLICY CONDITIONS</w:t>
      </w:r>
    </w:p>
    <w:p/>
    <w:p>
      <w:r>
        <w:rPr>
          <w:b/>
          <w:sz w:val="24"/>
        </w:rPr>
        <w:t>6.1  Duties in the Event of Loss</w:t>
      </w:r>
    </w:p>
    <w:p>
      <w:r>
        <w:rPr>
          <w:sz w:val="22"/>
        </w:rPr>
        <w:t xml:space="preserve">The insured must:</w:t>
      </w:r>
    </w:p>
    <w:p>
      <w:r>
        <w:rPr>
          <w:sz w:val="22"/>
        </w:rPr>
        <w:t xml:space="preserve">(a) Notify the insurer immediately after discovery of loss or damage.</w:t>
      </w:r>
    </w:p>
    <w:p>
      <w:r>
        <w:rPr>
          <w:sz w:val="22"/>
        </w:rPr>
        <w:t xml:space="preserve">(b) File a sworn Proof of Loss within 60 days of the loss (extendable by written agreement).</w:t>
      </w:r>
    </w:p>
    <w:p>
      <w:r>
        <w:rPr>
          <w:sz w:val="22"/>
        </w:rPr>
        <w:t xml:space="preserve">(c) Cooperate fully with the insurer's investigation and examination under oath if requested.</w:t>
      </w:r>
    </w:p>
    <w:p>
      <w:r>
        <w:rPr>
          <w:sz w:val="22"/>
        </w:rPr>
        <w:t xml:space="preserve">(d) Protect property from further damage and maintain a record of expenses to do so.</w:t>
      </w:r>
    </w:p>
    <w:p>
      <w:r>
        <w:rPr>
          <w:sz w:val="22"/>
        </w:rPr>
        <w:t xml:space="preserve">(e) Provide a complete inventory of damaged or destroyed property within a reasonable time.</w:t>
      </w:r>
    </w:p>
    <w:p/>
    <w:p>
      <w:r>
        <w:rPr>
          <w:b/>
          <w:sz w:val="24"/>
        </w:rPr>
        <w:t>6.2  Loss Payment</w:t>
      </w:r>
    </w:p>
    <w:p>
      <w:r>
        <w:rPr>
          <w:sz w:val="22"/>
        </w:rPr>
        <w:t xml:space="preserve">§6.2(a) — The insurer will pay or make good on any covered loss within 30 days of receiving a properly executed Proof of Loss, or within 30 days of an agreed settlement.</w:t>
      </w:r>
    </w:p>
    <w:p/>
    <w:p>
      <w:r>
        <w:rPr>
          <w:sz w:val="22"/>
        </w:rPr>
        <w:t xml:space="preserve">§6.2(b) — If the insurer and insured disagree on the amount of loss, either party may demand an appraisal. Each party selects a competent appraiser within 20 days. The two appraisers select an umpire. The written appraisal award agreed to by any two of the three is binding.</w:t>
      </w:r>
    </w:p>
    <w:p/>
    <w:p>
      <w:r>
        <w:rPr>
          <w:sz w:val="22"/>
        </w:rPr>
        <w:t xml:space="preserve">§6.2(c) — The insurer's obligation is limited to the least of: (i) the applicable Limit of Insurance; (ii) the cost to repair or replace the damaged property with material of like kind and quality; or (iii) the ACV (if RC conditions are not met).</w:t>
      </w:r>
    </w:p>
    <w:p/>
    <w:p>
      <w:r>
        <w:rPr>
          <w:b/>
          <w:sz w:val="24"/>
        </w:rPr>
        <w:t>6.3  NC State Law Notice — §58-63</w:t>
      </w:r>
    </w:p>
    <w:p>
      <w:r>
        <w:rPr>
          <w:sz w:val="22"/>
        </w:rPr>
        <w:t xml:space="preserve">In accordance with North Carolina General Statute §58-63-15, the insurer must respond to communications from the insured within 60 days of receiving a complete proof of loss. Failure to pay a valid claim without just cause may constitute an unfair claims practice under NC law.</w:t>
      </w:r>
    </w:p>
    <w:p/>
    <w:p>
      <w:r>
        <w:rPr>
          <w:sz w:val="22"/>
        </w:rPr>
        <w:t xml:space="preserve">Insured rights include:</w:t>
      </w:r>
    </w:p>
    <w:p>
      <w:r>
        <w:rPr>
          <w:sz w:val="22"/>
        </w:rPr>
        <w:t xml:space="preserve">• Right to request itemized explanation of any partial denial</w:t>
      </w:r>
    </w:p>
    <w:p>
      <w:r>
        <w:rPr>
          <w:sz w:val="22"/>
        </w:rPr>
        <w:t xml:space="preserve">• Right to appraisal (§6.2b above)</w:t>
      </w:r>
    </w:p>
    <w:p>
      <w:r>
        <w:rPr>
          <w:sz w:val="22"/>
        </w:rPr>
        <w:t xml:space="preserve">• Right to file a complaint with the NC Department of Insurance: 1-800-546-5664</w:t>
      </w:r>
    </w:p>
    <w:p/>
    <w:p>
      <w:r>
        <w:rPr>
          <w:b/>
          <w:sz w:val="24"/>
        </w:rPr>
        <w:t>6.4  Subrogation</w:t>
      </w:r>
    </w:p>
    <w:p>
      <w:r>
        <w:rPr>
          <w:sz w:val="22"/>
        </w:rPr>
        <w:t xml:space="preserve">The insurer has the right to recover from any third party responsible for a covered loss, to the extent of payments made. The insured must cooperate and must not waive the insurer's subrogation rights against any responsible party without prior written consent.</w:t>
      </w:r>
    </w:p>
    <w:p/>
    <w:p>
      <w:pPr>
        <w:pBdr>
          <w:bottom w:val="single" w:sz="6" w:space="4" w:color="1A2A4A"/>
        </w:pBdr>
      </w:pPr>
      <w:r>
        <w:rPr>
          <w:b/>
          <w:sz w:val="28"/>
          <w:color w:val="1A2A4A"/>
        </w:rPr>
        <w:t>AUTHORIZATION</w:t>
      </w:r>
    </w:p>
    <w:p/>
    <w:p>
      <w:r>
        <w:rPr>
          <w:sz w:val="22"/>
        </w:rPr>
        <w:t xml:space="preserve">This policy is executed on behalf of the Company as of the date first written above.</w:t>
      </w:r>
    </w:p>
    <w:p/>
    <w:p>
      <w:r>
        <w:rPr>
          <w:sz w:val="22"/>
        </w:rPr>
        <w:t xml:space="preserve">GreatWest Mutual Insurance Company</w:t>
      </w:r>
    </w:p>
    <w:p/>
    <w:p/>
    <w:p>
      <w:r>
        <w:rPr>
          <w:sz w:val="22"/>
        </w:rPr>
        <w:t xml:space="preserve">_________________________________</w:t>
      </w:r>
    </w:p>
    <w:p>
      <w:r>
        <w:rPr>
          <w:sz w:val="22"/>
        </w:rPr>
        <w:t xml:space="preserve">Jennifer L. Ross</w:t>
      </w:r>
    </w:p>
    <w:p>
      <w:r>
        <w:rPr>
          <w:sz w:val="22"/>
        </w:rPr>
        <w:t xml:space="preserve">Vice President, Underwriting</w:t>
      </w:r>
    </w:p>
    <w:p/>
    <w:p/>
    <w:p>
      <w:r>
        <w:rPr>
          <w:sz w:val="22"/>
        </w:rPr>
        <w:t xml:space="preserve">_________________________________</w:t>
      </w:r>
    </w:p>
    <w:p>
      <w:r>
        <w:rPr>
          <w:sz w:val="22"/>
        </w:rPr>
        <w:t xml:space="preserve">Michael Chen</w:t>
      </w:r>
    </w:p>
    <w:p>
      <w:r>
        <w:rPr>
          <w:sz w:val="22"/>
        </w:rPr>
        <w:t xml:space="preserve">Director, Commercial Lines</w:t>
      </w:r>
    </w:p>
    <w:p/>
    <w:p>
      <w:pPr>
        <w:pBdr>
          <w:bottom w:val="single" w:sz="4" w:space="4" w:color="CCCCCC"/>
        </w:pBdr>
      </w:pPr>
    </w:p>
    <w:p>
      <w:r>
        <w:rPr>
          <w:sz w:val="22"/>
        </w:rPr>
        <w:t xml:space="preserve">This policy document contains 62 pages including all endorsements and schedules.</w:t>
      </w:r>
    </w:p>
    <w:p>
      <w:r>
        <w:rPr>
          <w:sz w:val="22"/>
        </w:rPr>
        <w:t xml:space="preserve">Form CPP-2026-NC-R4  |  © 2026 GreatWest Mutual Insurance Company</w:t>
      </w:r>
    </w:p>
    <w:p>
      <w:r>
        <w:rPr>
          <w:sz w:val="22"/>
        </w:rPr>
        <w:t xml:space="preserve">This document is issued for informational purposes to the insured named above.</w:t>
      </w:r>
    </w:p>
    <w:sectPr>
      <w:pgMar w:top="1440" w:right="1080" w:bottom="1440" w:left="1080"/>
    </w:sectPr>
  </w:body>
</w:document>
</file>

<file path=word/styles.xml><?xml version="1.0" encoding="utf-8"?>
<w:styles xmlns:w="http://schemas.openxmlformats.org/wordprocessingml/2006/main">
  <w:style w:type="paragraph" w:default="1" w:styleId="Normal">
    <w:name w:val="Normal"/>
    <w:rPr>
      <w:sz w:val="22"/>
      <w:szCs w:val="22"/>
    </w:r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